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olor w:val="auto"/>
          <w:sz w:val="76"/>
          <w:szCs w:val="72"/>
          <w:lang w:eastAsia="en-US"/>
        </w:rPr>
        <w:id w:val="-373003776"/>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margin" w:tblpY="67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216" w:type="dxa"/>
              <w:bottom w:w="216" w:type="dxa"/>
              <w:right w:w="216" w:type="dxa"/>
            </w:tblCellMar>
            <w:tblLook w:val="04A0" w:firstRow="1" w:lastRow="0" w:firstColumn="1" w:lastColumn="0" w:noHBand="0" w:noVBand="1"/>
          </w:tblPr>
          <w:tblGrid>
            <w:gridCol w:w="4418"/>
            <w:gridCol w:w="5374"/>
          </w:tblGrid>
          <w:tr w:rsidR="00FB1E7B" w:rsidTr="00D75EA5">
            <w:tc>
              <w:tcPr>
                <w:tcW w:w="4418" w:type="dxa"/>
                <w:vAlign w:val="center"/>
              </w:tcPr>
              <w:p w:rsidR="00FB1E7B" w:rsidRDefault="006C6C7A" w:rsidP="00A016AE">
                <w:pPr>
                  <w:pStyle w:val="NoSpacing"/>
                  <w:rPr>
                    <w:rFonts w:asciiTheme="majorHAnsi" w:eastAsiaTheme="majorEastAsia" w:hAnsiTheme="majorHAnsi" w:cstheme="majorBidi"/>
                    <w:sz w:val="76"/>
                    <w:szCs w:val="72"/>
                  </w:rPr>
                </w:pPr>
                <w:sdt>
                  <w:sdtPr>
                    <w:rPr>
                      <w:rFonts w:ascii="Cambria Math" w:eastAsiaTheme="majorEastAsia" w:hAnsi="Cambria Math" w:cstheme="majorBidi"/>
                      <w:sz w:val="48"/>
                      <w:szCs w:val="48"/>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FB1E7B" w:rsidRPr="00A016AE">
                      <w:rPr>
                        <w:rFonts w:ascii="Cambria Math" w:eastAsiaTheme="majorEastAsia" w:hAnsi="Cambria Math" w:cstheme="majorBidi"/>
                        <w:sz w:val="48"/>
                        <w:szCs w:val="48"/>
                      </w:rPr>
                      <w:t>FERTILIZER PROGRAM SUMMARY REPORT</w:t>
                    </w:r>
                  </w:sdtContent>
                </w:sdt>
              </w:p>
            </w:tc>
            <w:tc>
              <w:tcPr>
                <w:tcW w:w="5374" w:type="dxa"/>
                <w:vAlign w:val="center"/>
              </w:tcPr>
              <w:sdt>
                <w:sdtPr>
                  <w:rPr>
                    <w:rFonts w:ascii="Cambria Math" w:hAnsi="Cambria Math"/>
                    <w:color w:val="auto"/>
                    <w:sz w:val="96"/>
                    <w:szCs w:val="96"/>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rsidR="00FB1E7B" w:rsidRPr="00A016AE" w:rsidRDefault="00FB1E7B" w:rsidP="00A016AE">
                    <w:pPr>
                      <w:pStyle w:val="NoSpacing"/>
                      <w:rPr>
                        <w:rFonts w:ascii="Cambria Math" w:hAnsi="Cambria Math"/>
                        <w:color w:val="4F81BD" w:themeColor="accent1"/>
                        <w:sz w:val="96"/>
                        <w:szCs w:val="96"/>
                        <w14:numForm w14:val="oldStyle"/>
                      </w:rPr>
                    </w:pPr>
                    <w:r w:rsidRPr="00A016AE">
                      <w:rPr>
                        <w:rFonts w:ascii="Cambria Math" w:hAnsi="Cambria Math"/>
                        <w:color w:val="auto"/>
                        <w:sz w:val="96"/>
                        <w:szCs w:val="96"/>
                        <w14:shadow w14:blurRad="50800" w14:dist="38100" w14:dir="2700000" w14:sx="100000" w14:sy="100000" w14:kx="0" w14:ky="0" w14:algn="tl">
                          <w14:srgbClr w14:val="000000">
                            <w14:alpha w14:val="60000"/>
                          </w14:srgbClr>
                        </w14:shadow>
                        <w14:numForm w14:val="oldStyle"/>
                      </w:rPr>
                      <w:t>2016</w:t>
                    </w:r>
                  </w:p>
                </w:sdtContent>
              </w:sdt>
            </w:tc>
          </w:tr>
          <w:tr w:rsidR="005D6180" w:rsidTr="00D75EA5">
            <w:sdt>
              <w:sdtPr>
                <w:rPr>
                  <w:sz w:val="24"/>
                  <w:szCs w:val="24"/>
                </w:rPr>
                <w:alias w:val="Abstract"/>
                <w:id w:val="276713183"/>
                <w:dataBinding w:prefixMappings="xmlns:ns0='http://schemas.microsoft.com/office/2006/coverPageProps'" w:xpath="/ns0:CoverPageProperties[1]/ns0:Abstract[1]" w:storeItemID="{55AF091B-3C7A-41E3-B477-F2FDAA23CFDA}"/>
                <w:text/>
              </w:sdtPr>
              <w:sdtEndPr/>
              <w:sdtContent>
                <w:tc>
                  <w:tcPr>
                    <w:tcW w:w="9792" w:type="dxa"/>
                    <w:gridSpan w:val="2"/>
                    <w:vAlign w:val="center"/>
                  </w:tcPr>
                  <w:p w:rsidR="005D6180" w:rsidRDefault="005D6180" w:rsidP="00A016AE">
                    <w:pPr>
                      <w:pStyle w:val="NoSpacing"/>
                    </w:pPr>
                    <w:r w:rsidRPr="005D6180">
                      <w:rPr>
                        <w:sz w:val="24"/>
                        <w:szCs w:val="24"/>
                      </w:rPr>
                      <w:t>This report outlines the major accomplishments and results of Maine’s 201</w:t>
                    </w:r>
                    <w:r>
                      <w:rPr>
                        <w:sz w:val="24"/>
                        <w:szCs w:val="24"/>
                      </w:rPr>
                      <w:t>6</w:t>
                    </w:r>
                    <w:r w:rsidRPr="005D6180">
                      <w:rPr>
                        <w:sz w:val="24"/>
                        <w:szCs w:val="24"/>
                      </w:rPr>
                      <w:t xml:space="preserve"> Fertilizer Quality Control Program produced in accordance with MRS Title 7</w:t>
                    </w:r>
                    <w:r>
                      <w:rPr>
                        <w:sz w:val="24"/>
                        <w:szCs w:val="24"/>
                      </w:rPr>
                      <w:t xml:space="preserve">. </w:t>
                    </w:r>
                    <w:r w:rsidRPr="005D6180">
                      <w:rPr>
                        <w:sz w:val="24"/>
                        <w:szCs w:val="24"/>
                      </w:rPr>
                      <w:t>Our mission statement for this program is to serve, promote and protect the Agricultural Producers, and Retail Consumers of the State of Maine by continuously working to improve the quality of fertilizer products sold in Maine.</w:t>
                    </w:r>
                  </w:p>
                </w:tc>
              </w:sdtContent>
            </w:sdt>
          </w:tr>
        </w:tbl>
        <w:p w:rsidR="00FB1E7B" w:rsidRDefault="00FB1E7B">
          <w:r w:rsidRPr="0023559E">
            <w:rPr>
              <w:b/>
              <w:noProof/>
            </w:rPr>
            <w:drawing>
              <wp:anchor distT="0" distB="0" distL="114300" distR="114300" simplePos="0" relativeHeight="251659264" behindDoc="0" locked="0" layoutInCell="1" allowOverlap="1" wp14:anchorId="4E6AB619" wp14:editId="6ED8BF16">
                <wp:simplePos x="0" y="0"/>
                <wp:positionH relativeFrom="margin">
                  <wp:align>center</wp:align>
                </wp:positionH>
                <wp:positionV relativeFrom="margin">
                  <wp:align>top</wp:align>
                </wp:positionV>
                <wp:extent cx="139700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97000" cy="1371600"/>
                        </a:xfrm>
                        <a:prstGeom prst="rect">
                          <a:avLst/>
                        </a:prstGeom>
                        <a:ln>
                          <a:noFill/>
                        </a:ln>
                        <a:effectLst/>
                      </pic:spPr>
                    </pic:pic>
                  </a:graphicData>
                </a:graphic>
              </wp:anchor>
            </w:drawing>
          </w:r>
        </w:p>
        <w:p w:rsidR="00A016AE" w:rsidRDefault="00A016AE" w:rsidP="00A016AE">
          <w:pPr>
            <w:tabs>
              <w:tab w:val="center" w:pos="3490"/>
            </w:tabs>
            <w:rPr>
              <w:b/>
              <w:sz w:val="28"/>
              <w:szCs w:val="28"/>
            </w:rPr>
          </w:pPr>
        </w:p>
        <w:p w:rsidR="00A016AE" w:rsidRDefault="00A016AE" w:rsidP="00A016AE">
          <w:pPr>
            <w:tabs>
              <w:tab w:val="center" w:pos="3490"/>
            </w:tabs>
            <w:rPr>
              <w:b/>
              <w:sz w:val="28"/>
              <w:szCs w:val="28"/>
            </w:rPr>
          </w:pPr>
        </w:p>
        <w:p w:rsidR="00A016AE" w:rsidRDefault="00A016AE" w:rsidP="00A016AE">
          <w:pPr>
            <w:tabs>
              <w:tab w:val="center" w:pos="3490"/>
            </w:tabs>
            <w:rPr>
              <w:b/>
              <w:sz w:val="28"/>
              <w:szCs w:val="28"/>
            </w:rPr>
          </w:pPr>
        </w:p>
        <w:p w:rsidR="00A016AE" w:rsidRDefault="00A016AE" w:rsidP="00A016AE">
          <w:pPr>
            <w:tabs>
              <w:tab w:val="center" w:pos="3490"/>
            </w:tabs>
            <w:rPr>
              <w:b/>
              <w:sz w:val="28"/>
              <w:szCs w:val="28"/>
            </w:rPr>
          </w:pPr>
        </w:p>
        <w:p w:rsidR="005D6180" w:rsidRPr="005D6180" w:rsidRDefault="005D6180" w:rsidP="00A016AE">
          <w:pPr>
            <w:tabs>
              <w:tab w:val="center" w:pos="3490"/>
            </w:tabs>
            <w:jc w:val="center"/>
            <w:rPr>
              <w:rFonts w:ascii="Cambria Math" w:hAnsi="Cambria Math"/>
              <w:b/>
              <w:sz w:val="36"/>
              <w:szCs w:val="36"/>
            </w:rPr>
          </w:pPr>
          <w:r w:rsidRPr="005D6180">
            <w:rPr>
              <w:rFonts w:ascii="Cambria Math" w:hAnsi="Cambria Math"/>
              <w:b/>
              <w:sz w:val="36"/>
              <w:szCs w:val="36"/>
            </w:rPr>
            <w:t>Maine Department of Agriculture, Conservation &amp; Forestry</w:t>
          </w:r>
        </w:p>
        <w:p w:rsidR="00A016AE" w:rsidRDefault="005D6180" w:rsidP="00A016AE">
          <w:pPr>
            <w:jc w:val="center"/>
          </w:pPr>
          <w:r w:rsidRPr="00A016AE">
            <w:rPr>
              <w:rFonts w:ascii="Cambria Math" w:hAnsi="Cambria Math"/>
              <w:b/>
              <w:sz w:val="36"/>
              <w:szCs w:val="36"/>
            </w:rPr>
            <w:t>Division of Quality Assurance &amp; Regulations</w:t>
          </w:r>
          <w:r>
            <w:t xml:space="preserve"> </w:t>
          </w:r>
        </w:p>
        <w:p w:rsidR="00A016AE" w:rsidRDefault="00A016AE" w:rsidP="00A016AE">
          <w:pPr>
            <w:jc w:val="center"/>
          </w:pPr>
        </w:p>
        <w:p w:rsidR="00A016AE" w:rsidRDefault="00A016AE" w:rsidP="00A016AE">
          <w:pPr>
            <w:jc w:val="center"/>
          </w:pPr>
        </w:p>
        <w:p w:rsidR="00677FB7" w:rsidRDefault="00FB1E7B" w:rsidP="00A016AE">
          <w:pPr>
            <w:jc w:val="center"/>
          </w:pPr>
          <w:r>
            <w:br w:type="page"/>
          </w:r>
        </w:p>
        <w:p w:rsidR="00677FB7" w:rsidRDefault="00677FB7" w:rsidP="00677FB7">
          <w:pPr>
            <w:spacing w:line="240" w:lineRule="auto"/>
            <w:rPr>
              <w:rFonts w:cs="Times New Roman"/>
              <w:sz w:val="24"/>
              <w:szCs w:val="24"/>
            </w:rPr>
          </w:pPr>
          <w:r w:rsidRPr="008F2761">
            <w:rPr>
              <w:rFonts w:cs="Times New Roman"/>
              <w:sz w:val="24"/>
              <w:szCs w:val="24"/>
            </w:rPr>
            <w:lastRenderedPageBreak/>
            <w:t>Th</w:t>
          </w:r>
          <w:r>
            <w:rPr>
              <w:rFonts w:cs="Times New Roman"/>
              <w:sz w:val="24"/>
              <w:szCs w:val="24"/>
            </w:rPr>
            <w:t>is</w:t>
          </w:r>
          <w:r w:rsidRPr="008F2761">
            <w:rPr>
              <w:rFonts w:cs="Times New Roman"/>
              <w:sz w:val="24"/>
              <w:szCs w:val="24"/>
            </w:rPr>
            <w:t xml:space="preserve"> report outlines the major accomplishments and results of Maine’s 201</w:t>
          </w:r>
          <w:r>
            <w:rPr>
              <w:rFonts w:cs="Times New Roman"/>
              <w:sz w:val="24"/>
              <w:szCs w:val="24"/>
            </w:rPr>
            <w:t>6</w:t>
          </w:r>
          <w:r w:rsidRPr="008F2761">
            <w:rPr>
              <w:rFonts w:cs="Times New Roman"/>
              <w:sz w:val="24"/>
              <w:szCs w:val="24"/>
            </w:rPr>
            <w:t xml:space="preserve"> Fertilizer Quality Control Program produced in accordance with MRS Title 7</w:t>
          </w:r>
          <w:r>
            <w:rPr>
              <w:rFonts w:cs="Times New Roman"/>
              <w:sz w:val="24"/>
              <w:szCs w:val="24"/>
            </w:rPr>
            <w:t xml:space="preserve">. </w:t>
          </w:r>
          <w:r w:rsidR="009553D7">
            <w:rPr>
              <w:rFonts w:cs="Times New Roman"/>
              <w:sz w:val="24"/>
              <w:szCs w:val="24"/>
            </w:rPr>
            <w:t>A</w:t>
          </w:r>
          <w:r w:rsidRPr="008F2761">
            <w:rPr>
              <w:rFonts w:cs="Times New Roman"/>
              <w:sz w:val="24"/>
              <w:szCs w:val="24"/>
            </w:rPr>
            <w:t>n annual report</w:t>
          </w:r>
          <w:r>
            <w:rPr>
              <w:rFonts w:cs="Times New Roman"/>
              <w:sz w:val="24"/>
              <w:szCs w:val="24"/>
            </w:rPr>
            <w:t xml:space="preserve"> is required </w:t>
          </w:r>
          <w:r w:rsidR="009553D7">
            <w:rPr>
              <w:rFonts w:cs="Times New Roman"/>
              <w:sz w:val="24"/>
              <w:szCs w:val="24"/>
            </w:rPr>
            <w:t xml:space="preserve">to be submitted </w:t>
          </w:r>
          <w:r>
            <w:rPr>
              <w:rFonts w:cs="Times New Roman"/>
              <w:sz w:val="24"/>
              <w:szCs w:val="24"/>
            </w:rPr>
            <w:t>t</w:t>
          </w:r>
          <w:r w:rsidRPr="008F2761">
            <w:rPr>
              <w:rFonts w:cs="Times New Roman"/>
              <w:sz w:val="24"/>
              <w:szCs w:val="24"/>
            </w:rPr>
            <w:t>o the joint standing committee of the Legislature having jurisdiction over agricultural matters, which is authorized to report out a bill.</w:t>
          </w:r>
        </w:p>
        <w:p w:rsidR="00651FF9" w:rsidRDefault="00FD3242" w:rsidP="00677FB7">
          <w:pPr>
            <w:spacing w:line="240" w:lineRule="auto"/>
            <w:rPr>
              <w:rFonts w:cs="Times New Roman"/>
              <w:sz w:val="24"/>
              <w:szCs w:val="24"/>
            </w:rPr>
          </w:pPr>
          <w:r w:rsidRPr="008F2761">
            <w:rPr>
              <w:rFonts w:cs="Times New Roman"/>
              <w:sz w:val="24"/>
              <w:szCs w:val="24"/>
            </w:rPr>
            <w:t>Accomplishments and goals from last year’s report</w:t>
          </w:r>
          <w:r>
            <w:rPr>
              <w:rFonts w:cs="Times New Roman"/>
              <w:sz w:val="24"/>
              <w:szCs w:val="24"/>
            </w:rPr>
            <w:t xml:space="preserve"> were achieved</w:t>
          </w:r>
          <w:r w:rsidRPr="008F2761">
            <w:rPr>
              <w:rFonts w:cs="Times New Roman"/>
              <w:sz w:val="24"/>
              <w:szCs w:val="24"/>
            </w:rPr>
            <w:t>.</w:t>
          </w:r>
          <w:r>
            <w:rPr>
              <w:rFonts w:cs="Times New Roman"/>
              <w:sz w:val="24"/>
              <w:szCs w:val="24"/>
            </w:rPr>
            <w:t xml:space="preserve"> </w:t>
          </w:r>
          <w:r w:rsidRPr="008F2761">
            <w:rPr>
              <w:rFonts w:cs="Times New Roman"/>
              <w:sz w:val="24"/>
              <w:szCs w:val="24"/>
            </w:rPr>
            <w:t xml:space="preserve">Through legislative changes in the statute language </w:t>
          </w:r>
          <w:r w:rsidR="00B37F2F">
            <w:rPr>
              <w:rFonts w:cs="Times New Roman"/>
              <w:sz w:val="24"/>
              <w:szCs w:val="24"/>
            </w:rPr>
            <w:t>in 2015</w:t>
          </w:r>
          <w:r w:rsidR="009553D7">
            <w:rPr>
              <w:rFonts w:cs="Times New Roman"/>
              <w:sz w:val="24"/>
              <w:szCs w:val="24"/>
            </w:rPr>
            <w:t>,</w:t>
          </w:r>
          <w:r w:rsidRPr="008F2761">
            <w:rPr>
              <w:rFonts w:cs="Times New Roman"/>
              <w:sz w:val="24"/>
              <w:szCs w:val="24"/>
            </w:rPr>
            <w:t xml:space="preserve"> </w:t>
          </w:r>
          <w:r>
            <w:rPr>
              <w:rFonts w:cs="Times New Roman"/>
              <w:sz w:val="24"/>
              <w:szCs w:val="24"/>
            </w:rPr>
            <w:t>w</w:t>
          </w:r>
          <w:r w:rsidRPr="008F2761">
            <w:rPr>
              <w:rFonts w:cs="Times New Roman"/>
              <w:sz w:val="24"/>
              <w:szCs w:val="24"/>
            </w:rPr>
            <w:t>arnings and penalties for non-compliances and deficiencies</w:t>
          </w:r>
          <w:r>
            <w:rPr>
              <w:rFonts w:cs="Times New Roman"/>
              <w:sz w:val="24"/>
              <w:szCs w:val="24"/>
            </w:rPr>
            <w:t xml:space="preserve"> can now be implemented</w:t>
          </w:r>
          <w:r w:rsidRPr="008F2761">
            <w:rPr>
              <w:rFonts w:cs="Times New Roman"/>
              <w:sz w:val="24"/>
              <w:szCs w:val="24"/>
            </w:rPr>
            <w:t>.</w:t>
          </w:r>
          <w:r w:rsidR="00651FF9">
            <w:rPr>
              <w:rFonts w:cs="Times New Roman"/>
              <w:sz w:val="24"/>
              <w:szCs w:val="24"/>
            </w:rPr>
            <w:t xml:space="preserve"> A</w:t>
          </w:r>
          <w:r w:rsidR="00651FF9" w:rsidRPr="008F2761">
            <w:rPr>
              <w:rFonts w:cs="Times New Roman"/>
              <w:sz w:val="24"/>
              <w:szCs w:val="24"/>
            </w:rPr>
            <w:t xml:space="preserve"> database</w:t>
          </w:r>
          <w:r w:rsidR="00651FF9">
            <w:rPr>
              <w:rFonts w:cs="Times New Roman"/>
              <w:sz w:val="24"/>
              <w:szCs w:val="24"/>
            </w:rPr>
            <w:t xml:space="preserve"> has been created</w:t>
          </w:r>
          <w:r w:rsidR="00651FF9" w:rsidRPr="008F2761">
            <w:rPr>
              <w:rFonts w:cs="Times New Roman"/>
              <w:sz w:val="24"/>
              <w:szCs w:val="24"/>
            </w:rPr>
            <w:t xml:space="preserve"> to calculate and track these non-compliances and deficiencies.</w:t>
          </w:r>
        </w:p>
        <w:p w:rsidR="00722E9A" w:rsidRDefault="00651FF9" w:rsidP="00677FB7">
          <w:pPr>
            <w:spacing w:line="240" w:lineRule="auto"/>
            <w:rPr>
              <w:rFonts w:cs="Times New Roman"/>
              <w:sz w:val="24"/>
              <w:szCs w:val="24"/>
            </w:rPr>
          </w:pPr>
          <w:r>
            <w:rPr>
              <w:rFonts w:cs="Times New Roman"/>
              <w:sz w:val="24"/>
              <w:szCs w:val="24"/>
            </w:rPr>
            <w:t>Confidential s</w:t>
          </w:r>
          <w:r w:rsidR="00FD3242">
            <w:rPr>
              <w:rFonts w:cs="Times New Roman"/>
              <w:sz w:val="24"/>
              <w:szCs w:val="24"/>
            </w:rPr>
            <w:t>urvey letter</w:t>
          </w:r>
          <w:r>
            <w:rPr>
              <w:rFonts w:cs="Times New Roman"/>
              <w:sz w:val="24"/>
              <w:szCs w:val="24"/>
            </w:rPr>
            <w:t>s</w:t>
          </w:r>
          <w:r w:rsidR="00FD3242">
            <w:rPr>
              <w:rFonts w:cs="Times New Roman"/>
              <w:sz w:val="24"/>
              <w:szCs w:val="24"/>
            </w:rPr>
            <w:t xml:space="preserve"> w</w:t>
          </w:r>
          <w:r>
            <w:rPr>
              <w:rFonts w:cs="Times New Roman"/>
              <w:sz w:val="24"/>
              <w:szCs w:val="24"/>
            </w:rPr>
            <w:t>ere</w:t>
          </w:r>
          <w:r w:rsidR="00FD3242">
            <w:rPr>
              <w:rFonts w:cs="Times New Roman"/>
              <w:sz w:val="24"/>
              <w:szCs w:val="24"/>
            </w:rPr>
            <w:t xml:space="preserve"> sent to all registrants</w:t>
          </w:r>
          <w:r>
            <w:rPr>
              <w:rFonts w:cs="Times New Roman"/>
              <w:sz w:val="24"/>
              <w:szCs w:val="24"/>
            </w:rPr>
            <w:t xml:space="preserve"> requesting retail prices per ton of fertilizer materials used in their products. Based on the survey’s </w:t>
          </w:r>
          <w:r w:rsidR="003D67A9">
            <w:rPr>
              <w:rFonts w:cs="Times New Roman"/>
              <w:sz w:val="24"/>
              <w:szCs w:val="24"/>
            </w:rPr>
            <w:t>response</w:t>
          </w:r>
          <w:r w:rsidR="009553D7">
            <w:rPr>
              <w:rFonts w:cs="Times New Roman"/>
              <w:sz w:val="24"/>
              <w:szCs w:val="24"/>
            </w:rPr>
            <w:t>,</w:t>
          </w:r>
          <w:r w:rsidR="003D67A9">
            <w:rPr>
              <w:rFonts w:cs="Times New Roman"/>
              <w:sz w:val="24"/>
              <w:szCs w:val="24"/>
            </w:rPr>
            <w:t xml:space="preserve"> the unit prices for total nitrogen (N), available phosphate (P₂O₅) and soluble potash (K₂O) were calculated and posted on the </w:t>
          </w:r>
          <w:r w:rsidR="0020262E">
            <w:rPr>
              <w:rFonts w:cs="Times New Roman"/>
              <w:sz w:val="24"/>
              <w:szCs w:val="24"/>
            </w:rPr>
            <w:t>d</w:t>
          </w:r>
          <w:r w:rsidR="003D67A9">
            <w:rPr>
              <w:rFonts w:cs="Times New Roman"/>
              <w:sz w:val="24"/>
              <w:szCs w:val="24"/>
            </w:rPr>
            <w:t>epartment</w:t>
          </w:r>
          <w:r w:rsidR="009553D7">
            <w:rPr>
              <w:rFonts w:cs="Times New Roman"/>
              <w:sz w:val="24"/>
              <w:szCs w:val="24"/>
            </w:rPr>
            <w:t>’s</w:t>
          </w:r>
          <w:r w:rsidR="003D67A9">
            <w:rPr>
              <w:rFonts w:cs="Times New Roman"/>
              <w:sz w:val="24"/>
              <w:szCs w:val="24"/>
            </w:rPr>
            <w:t xml:space="preserve"> web site as required by statute. These values must be used in determining and assessing penalty payments.</w:t>
          </w:r>
        </w:p>
        <w:p w:rsidR="00722E9A" w:rsidRDefault="00A24BEB" w:rsidP="00677FB7">
          <w:pPr>
            <w:spacing w:line="240" w:lineRule="auto"/>
            <w:rPr>
              <w:rFonts w:cs="Times New Roman"/>
              <w:sz w:val="24"/>
              <w:szCs w:val="24"/>
            </w:rPr>
          </w:pPr>
          <w:r>
            <w:rPr>
              <w:rFonts w:cs="Times New Roman"/>
              <w:sz w:val="24"/>
              <w:szCs w:val="24"/>
            </w:rPr>
            <w:t>I</w:t>
          </w:r>
          <w:r w:rsidR="00722E9A">
            <w:rPr>
              <w:rFonts w:cs="Times New Roman"/>
              <w:sz w:val="24"/>
              <w:szCs w:val="24"/>
            </w:rPr>
            <w:t>n accordance with our statute, specifically §745 Inspection, sampling and analysis</w:t>
          </w:r>
          <w:r>
            <w:rPr>
              <w:rFonts w:cs="Times New Roman"/>
              <w:sz w:val="24"/>
              <w:szCs w:val="24"/>
            </w:rPr>
            <w:t xml:space="preserve"> the </w:t>
          </w:r>
          <w:r w:rsidR="0020262E">
            <w:rPr>
              <w:rFonts w:cs="Times New Roman"/>
              <w:sz w:val="24"/>
              <w:szCs w:val="24"/>
            </w:rPr>
            <w:t>d</w:t>
          </w:r>
          <w:r>
            <w:rPr>
              <w:rFonts w:cs="Times New Roman"/>
              <w:sz w:val="24"/>
              <w:szCs w:val="24"/>
            </w:rPr>
            <w:t>epartment utilized a</w:t>
          </w:r>
          <w:r w:rsidR="00FA3441">
            <w:rPr>
              <w:rFonts w:cs="Times New Roman"/>
              <w:sz w:val="24"/>
              <w:szCs w:val="24"/>
            </w:rPr>
            <w:t xml:space="preserve"> recognized</w:t>
          </w:r>
          <w:r>
            <w:rPr>
              <w:rFonts w:cs="Times New Roman"/>
              <w:sz w:val="24"/>
              <w:szCs w:val="24"/>
            </w:rPr>
            <w:t xml:space="preserve"> referee lab </w:t>
          </w:r>
          <w:r w:rsidR="00FA3441">
            <w:rPr>
              <w:rFonts w:cs="Times New Roman"/>
              <w:sz w:val="24"/>
              <w:szCs w:val="24"/>
            </w:rPr>
            <w:t>to analyze the results of the official fertilizer samples received from the other labs</w:t>
          </w:r>
          <w:r>
            <w:rPr>
              <w:rFonts w:cs="Times New Roman"/>
              <w:sz w:val="24"/>
              <w:szCs w:val="24"/>
            </w:rPr>
            <w:t xml:space="preserve">. </w:t>
          </w:r>
          <w:r w:rsidR="00FA3441">
            <w:rPr>
              <w:rFonts w:cs="Times New Roman"/>
              <w:sz w:val="24"/>
              <w:szCs w:val="24"/>
            </w:rPr>
            <w:t>This was to verify that current AOAC</w:t>
          </w:r>
          <w:r w:rsidR="00D47FF8">
            <w:rPr>
              <w:rFonts w:cs="Times New Roman"/>
              <w:sz w:val="24"/>
              <w:szCs w:val="24"/>
            </w:rPr>
            <w:t xml:space="preserve"> (Association of Official Analytical Chemists)</w:t>
          </w:r>
          <w:r w:rsidR="00C156D1">
            <w:rPr>
              <w:rFonts w:cs="Times New Roman"/>
              <w:sz w:val="24"/>
              <w:szCs w:val="24"/>
            </w:rPr>
            <w:t xml:space="preserve"> </w:t>
          </w:r>
          <w:r w:rsidR="00FA3441">
            <w:rPr>
              <w:rFonts w:cs="Times New Roman"/>
              <w:sz w:val="24"/>
              <w:szCs w:val="24"/>
            </w:rPr>
            <w:t>International methods were being followed to analyze official samples to</w:t>
          </w:r>
          <w:r>
            <w:rPr>
              <w:rFonts w:cs="Times New Roman"/>
              <w:sz w:val="24"/>
              <w:szCs w:val="24"/>
            </w:rPr>
            <w:t xml:space="preserve"> be in compliance</w:t>
          </w:r>
          <w:r w:rsidR="00FA3441">
            <w:rPr>
              <w:rFonts w:cs="Times New Roman"/>
              <w:sz w:val="24"/>
              <w:szCs w:val="24"/>
            </w:rPr>
            <w:t xml:space="preserve"> with the statute</w:t>
          </w:r>
          <w:r w:rsidR="009553D7">
            <w:rPr>
              <w:rFonts w:cs="Times New Roman"/>
              <w:sz w:val="24"/>
              <w:szCs w:val="24"/>
            </w:rPr>
            <w:t xml:space="preserve"> and also to</w:t>
          </w:r>
          <w:r>
            <w:rPr>
              <w:rFonts w:cs="Times New Roman"/>
              <w:sz w:val="24"/>
              <w:szCs w:val="24"/>
            </w:rPr>
            <w:t xml:space="preserve"> maintain transparency</w:t>
          </w:r>
          <w:r w:rsidR="00B577BA">
            <w:rPr>
              <w:rFonts w:cs="Times New Roman"/>
              <w:sz w:val="24"/>
              <w:szCs w:val="24"/>
            </w:rPr>
            <w:t xml:space="preserve"> to the consumer and industry</w:t>
          </w:r>
          <w:r w:rsidR="00FA3441">
            <w:rPr>
              <w:rFonts w:cs="Times New Roman"/>
              <w:sz w:val="24"/>
              <w:szCs w:val="24"/>
            </w:rPr>
            <w:t xml:space="preserve"> </w:t>
          </w:r>
          <w:r w:rsidR="00B577BA">
            <w:rPr>
              <w:rFonts w:cs="Times New Roman"/>
              <w:sz w:val="24"/>
              <w:szCs w:val="24"/>
            </w:rPr>
            <w:t>during</w:t>
          </w:r>
          <w:r w:rsidR="00FA3441">
            <w:rPr>
              <w:rFonts w:cs="Times New Roman"/>
              <w:sz w:val="24"/>
              <w:szCs w:val="24"/>
            </w:rPr>
            <w:t xml:space="preserve"> the</w:t>
          </w:r>
          <w:r>
            <w:rPr>
              <w:rFonts w:cs="Times New Roman"/>
              <w:sz w:val="24"/>
              <w:szCs w:val="24"/>
            </w:rPr>
            <w:t xml:space="preserve"> development of the program</w:t>
          </w:r>
          <w:r w:rsidR="00FA3441">
            <w:rPr>
              <w:rFonts w:cs="Times New Roman"/>
              <w:sz w:val="24"/>
              <w:szCs w:val="24"/>
            </w:rPr>
            <w:t xml:space="preserve">. </w:t>
          </w:r>
          <w:r w:rsidR="00B577BA">
            <w:rPr>
              <w:rFonts w:cs="Times New Roman"/>
              <w:sz w:val="24"/>
              <w:szCs w:val="24"/>
            </w:rPr>
            <w:t>No nutrient deficiencies were issued this past year as the lab methods are being verified and validated.</w:t>
          </w:r>
          <w:r w:rsidR="004F0E4F">
            <w:rPr>
              <w:rFonts w:cs="Times New Roman"/>
              <w:sz w:val="24"/>
              <w:szCs w:val="24"/>
            </w:rPr>
            <w:t xml:space="preserve"> </w:t>
          </w:r>
          <w:r w:rsidR="004F0E4F">
            <w:rPr>
              <w:rFonts w:ascii="Calibri" w:hAnsi="Calibri" w:cs="Times New Roman"/>
              <w:sz w:val="24"/>
              <w:szCs w:val="24"/>
            </w:rPr>
            <w:t>Letters were sent to the grower</w:t>
          </w:r>
          <w:r w:rsidR="00175EFF">
            <w:rPr>
              <w:rFonts w:ascii="Calibri" w:hAnsi="Calibri" w:cs="Times New Roman"/>
              <w:sz w:val="24"/>
              <w:szCs w:val="24"/>
            </w:rPr>
            <w:t>s</w:t>
          </w:r>
          <w:r w:rsidR="004F0E4F">
            <w:rPr>
              <w:rFonts w:ascii="Calibri" w:hAnsi="Calibri" w:cs="Times New Roman"/>
              <w:sz w:val="24"/>
              <w:szCs w:val="24"/>
            </w:rPr>
            <w:t xml:space="preserve"> and supplier</w:t>
          </w:r>
          <w:r w:rsidR="00175EFF">
            <w:rPr>
              <w:rFonts w:ascii="Calibri" w:hAnsi="Calibri" w:cs="Times New Roman"/>
              <w:sz w:val="24"/>
              <w:szCs w:val="24"/>
            </w:rPr>
            <w:t>s</w:t>
          </w:r>
          <w:r w:rsidR="004F0E4F">
            <w:rPr>
              <w:rFonts w:ascii="Calibri" w:hAnsi="Calibri" w:cs="Times New Roman"/>
              <w:sz w:val="24"/>
              <w:szCs w:val="24"/>
            </w:rPr>
            <w:t xml:space="preserve"> as soon as the results were received.</w:t>
          </w:r>
        </w:p>
        <w:p w:rsidR="002415E4" w:rsidRDefault="002415E4" w:rsidP="00722E9A">
          <w:pPr>
            <w:spacing w:line="240" w:lineRule="auto"/>
            <w:rPr>
              <w:rFonts w:ascii="Calibri" w:hAnsi="Calibri" w:cs="Times New Roman"/>
              <w:sz w:val="24"/>
              <w:szCs w:val="24"/>
            </w:rPr>
          </w:pPr>
          <w:r>
            <w:rPr>
              <w:rFonts w:ascii="Calibri" w:hAnsi="Calibri" w:cs="Times New Roman"/>
              <w:sz w:val="24"/>
              <w:szCs w:val="24"/>
            </w:rPr>
            <w:t xml:space="preserve">Compliance letters have been sent out </w:t>
          </w:r>
          <w:r w:rsidR="005E33F5">
            <w:rPr>
              <w:rFonts w:ascii="Calibri" w:hAnsi="Calibri" w:cs="Times New Roman"/>
              <w:sz w:val="24"/>
              <w:szCs w:val="24"/>
            </w:rPr>
            <w:t>in 2016</w:t>
          </w:r>
          <w:r>
            <w:rPr>
              <w:rFonts w:ascii="Calibri" w:hAnsi="Calibri" w:cs="Times New Roman"/>
              <w:sz w:val="24"/>
              <w:szCs w:val="24"/>
            </w:rPr>
            <w:t xml:space="preserve"> to </w:t>
          </w:r>
          <w:r w:rsidR="00473404">
            <w:rPr>
              <w:rFonts w:ascii="Calibri" w:hAnsi="Calibri" w:cs="Times New Roman"/>
              <w:sz w:val="24"/>
              <w:szCs w:val="24"/>
            </w:rPr>
            <w:t>companies</w:t>
          </w:r>
          <w:r>
            <w:rPr>
              <w:rFonts w:ascii="Calibri" w:hAnsi="Calibri" w:cs="Times New Roman"/>
              <w:sz w:val="24"/>
              <w:szCs w:val="24"/>
            </w:rPr>
            <w:t xml:space="preserve"> for fail</w:t>
          </w:r>
          <w:r w:rsidR="009553D7">
            <w:rPr>
              <w:rFonts w:ascii="Calibri" w:hAnsi="Calibri" w:cs="Times New Roman"/>
              <w:sz w:val="24"/>
              <w:szCs w:val="24"/>
            </w:rPr>
            <w:t>ure</w:t>
          </w:r>
          <w:r w:rsidR="000C5453">
            <w:rPr>
              <w:rFonts w:ascii="Calibri" w:hAnsi="Calibri" w:cs="Times New Roman"/>
              <w:sz w:val="24"/>
              <w:szCs w:val="24"/>
            </w:rPr>
            <w:t xml:space="preserve"> </w:t>
          </w:r>
          <w:r>
            <w:rPr>
              <w:rFonts w:ascii="Calibri" w:hAnsi="Calibri" w:cs="Times New Roman"/>
              <w:sz w:val="24"/>
              <w:szCs w:val="24"/>
            </w:rPr>
            <w:t>to register their products</w:t>
          </w:r>
          <w:r w:rsidR="00363ABF">
            <w:rPr>
              <w:rFonts w:ascii="Calibri" w:hAnsi="Calibri" w:cs="Times New Roman"/>
              <w:sz w:val="24"/>
              <w:szCs w:val="24"/>
            </w:rPr>
            <w:t xml:space="preserve"> being sold in the state of Maine and failure to report their tonnage being sold in the state of Maine. </w:t>
          </w:r>
          <w:r w:rsidR="00A06C3E">
            <w:rPr>
              <w:rFonts w:ascii="Calibri" w:hAnsi="Calibri" w:cs="Times New Roman"/>
              <w:sz w:val="24"/>
              <w:szCs w:val="24"/>
            </w:rPr>
            <w:t>The amount of samples this past year has been reduced to allow for the implementation of the legislative changes to complete the fertilizer program in accordance with the Fertilizer Law. These changes increased the administrative and analytical duties to manage the program.</w:t>
          </w:r>
        </w:p>
        <w:p w:rsidR="00E061A9" w:rsidRDefault="004F0E4F" w:rsidP="00E061A9">
          <w:pPr>
            <w:rPr>
              <w:rFonts w:cs="Times New Roman"/>
              <w:sz w:val="24"/>
              <w:szCs w:val="24"/>
            </w:rPr>
          </w:pPr>
          <w:r w:rsidRPr="008F2761">
            <w:rPr>
              <w:rFonts w:cs="Times New Roman"/>
              <w:sz w:val="24"/>
              <w:szCs w:val="24"/>
            </w:rPr>
            <w:t>Labeling of fertilizer products has been of major concern for our program</w:t>
          </w:r>
          <w:r>
            <w:rPr>
              <w:rFonts w:cs="Times New Roman"/>
              <w:sz w:val="24"/>
              <w:szCs w:val="24"/>
            </w:rPr>
            <w:t>.</w:t>
          </w:r>
          <w:r w:rsidRPr="008F2761">
            <w:rPr>
              <w:rFonts w:cs="Times New Roman"/>
              <w:sz w:val="24"/>
              <w:szCs w:val="24"/>
            </w:rPr>
            <w:t xml:space="preserve"> </w:t>
          </w:r>
          <w:r w:rsidR="00CA5730">
            <w:rPr>
              <w:rFonts w:cs="Times New Roman"/>
              <w:sz w:val="24"/>
              <w:szCs w:val="24"/>
            </w:rPr>
            <w:t xml:space="preserve">Last fall, the </w:t>
          </w:r>
          <w:r w:rsidR="009553D7">
            <w:rPr>
              <w:rFonts w:cs="Times New Roman"/>
              <w:sz w:val="24"/>
              <w:szCs w:val="24"/>
            </w:rPr>
            <w:t>D</w:t>
          </w:r>
          <w:r w:rsidR="00CA5730">
            <w:rPr>
              <w:rFonts w:cs="Times New Roman"/>
              <w:sz w:val="24"/>
              <w:szCs w:val="24"/>
            </w:rPr>
            <w:t>epartment conducted a power point presentation to the industry reviewing</w:t>
          </w:r>
          <w:r w:rsidR="00E061A9">
            <w:rPr>
              <w:rFonts w:cs="Times New Roman"/>
              <w:sz w:val="24"/>
              <w:szCs w:val="24"/>
            </w:rPr>
            <w:t xml:space="preserve"> all</w:t>
          </w:r>
          <w:r w:rsidR="00CA5730">
            <w:rPr>
              <w:rFonts w:cs="Times New Roman"/>
              <w:sz w:val="24"/>
              <w:szCs w:val="24"/>
            </w:rPr>
            <w:t xml:space="preserve"> the legislative changes. </w:t>
          </w:r>
        </w:p>
        <w:p w:rsidR="00E061A9" w:rsidRDefault="00E061A9" w:rsidP="00E061A9">
          <w:pPr>
            <w:rPr>
              <w:rFonts w:cs="Times New Roman"/>
              <w:sz w:val="24"/>
              <w:szCs w:val="24"/>
            </w:rPr>
          </w:pPr>
          <w:r>
            <w:rPr>
              <w:rFonts w:cs="Times New Roman"/>
              <w:sz w:val="24"/>
              <w:szCs w:val="24"/>
            </w:rPr>
            <w:t xml:space="preserve">The presentation included the requirements for product labeling in accordance with </w:t>
          </w:r>
          <w:r w:rsidRPr="00E061A9">
            <w:rPr>
              <w:bCs/>
            </w:rPr>
            <w:t>§744 Labeling</w:t>
          </w:r>
          <w:r>
            <w:rPr>
              <w:bCs/>
            </w:rPr>
            <w:t xml:space="preserve"> which states: </w:t>
          </w:r>
          <w:r>
            <w:rPr>
              <w:rFonts w:cs="Times New Roman"/>
              <w:sz w:val="24"/>
              <w:szCs w:val="24"/>
            </w:rPr>
            <w:t>a</w:t>
          </w:r>
          <w:r w:rsidRPr="00E061A9">
            <w:rPr>
              <w:rFonts w:cs="Times New Roman"/>
              <w:sz w:val="24"/>
              <w:szCs w:val="24"/>
            </w:rPr>
            <w:t xml:space="preserve">ny commercial fertilizer distributed in this State in containers must have placed on or affixed to the container a label setting forth in clearly legible form the information required by section 743, subsections 1 to 5. If distributed in bulk, a written or printed statement of the information required by section 743, subsections 1 to 5, must accompany delivery and be supplied to the purchaser at time of delivery. </w:t>
          </w:r>
        </w:p>
        <w:p w:rsidR="00C56C83" w:rsidRDefault="00C56C83" w:rsidP="00E061A9">
          <w:pPr>
            <w:rPr>
              <w:rFonts w:cs="Times New Roman"/>
              <w:sz w:val="24"/>
              <w:szCs w:val="24"/>
            </w:rPr>
          </w:pPr>
          <w:r>
            <w:rPr>
              <w:rFonts w:cs="Times New Roman"/>
              <w:sz w:val="24"/>
              <w:szCs w:val="24"/>
            </w:rPr>
            <w:lastRenderedPageBreak/>
            <w:t>New product labels are reviewed prior to approval for registration to ensure both Agricultural Producers</w:t>
          </w:r>
          <w:r w:rsidR="00FD51FF">
            <w:rPr>
              <w:rFonts w:cs="Times New Roman"/>
              <w:sz w:val="24"/>
              <w:szCs w:val="24"/>
            </w:rPr>
            <w:t xml:space="preserve">, </w:t>
          </w:r>
          <w:r>
            <w:rPr>
              <w:rFonts w:cs="Times New Roman"/>
              <w:sz w:val="24"/>
              <w:szCs w:val="24"/>
            </w:rPr>
            <w:t>and Retail Consumers are properly informed of the safe use of fertilizers and are purchasing product as stated on the label</w:t>
          </w:r>
          <w:r w:rsidR="009553D7">
            <w:rPr>
              <w:rFonts w:cs="Times New Roman"/>
              <w:sz w:val="24"/>
              <w:szCs w:val="24"/>
            </w:rPr>
            <w:t xml:space="preserve"> which has been</w:t>
          </w:r>
          <w:r>
            <w:rPr>
              <w:rFonts w:cs="Times New Roman"/>
              <w:sz w:val="24"/>
              <w:szCs w:val="24"/>
            </w:rPr>
            <w:t xml:space="preserve"> verified through sampling and laboratory analysis. </w:t>
          </w:r>
        </w:p>
        <w:p w:rsidR="006C1412" w:rsidRDefault="006C1412" w:rsidP="006C1412">
          <w:pPr>
            <w:rPr>
              <w:sz w:val="24"/>
              <w:szCs w:val="24"/>
            </w:rPr>
          </w:pPr>
          <w:r w:rsidRPr="006C1412">
            <w:rPr>
              <w:sz w:val="24"/>
              <w:szCs w:val="24"/>
            </w:rPr>
            <w:t xml:space="preserve">In 2014, the </w:t>
          </w:r>
          <w:r w:rsidR="009553D7">
            <w:rPr>
              <w:sz w:val="24"/>
              <w:szCs w:val="24"/>
            </w:rPr>
            <w:t>b</w:t>
          </w:r>
          <w:r w:rsidRPr="006C1412">
            <w:rPr>
              <w:sz w:val="24"/>
              <w:szCs w:val="24"/>
            </w:rPr>
            <w:t xml:space="preserve">lend </w:t>
          </w:r>
          <w:r w:rsidR="009553D7">
            <w:rPr>
              <w:sz w:val="24"/>
              <w:szCs w:val="24"/>
            </w:rPr>
            <w:t>p</w:t>
          </w:r>
          <w:r w:rsidRPr="006C1412">
            <w:rPr>
              <w:sz w:val="24"/>
              <w:szCs w:val="24"/>
            </w:rPr>
            <w:t>lants paid $44,020 for registrations and tonnage fees. The tonnage fees paid by the plants represented approximately 44% of the revenue going into the dedicated account to fund the program.</w:t>
          </w:r>
          <w:r>
            <w:rPr>
              <w:sz w:val="24"/>
              <w:szCs w:val="24"/>
            </w:rPr>
            <w:t xml:space="preserve"> No tonnage fees were collected in 2015 after the passage of Bill LD938 which eliminated tonnage fees.</w:t>
          </w:r>
          <w:r w:rsidRPr="006C1412">
            <w:rPr>
              <w:sz w:val="24"/>
              <w:szCs w:val="24"/>
            </w:rPr>
            <w:t xml:space="preserve"> In 2016, the </w:t>
          </w:r>
          <w:r w:rsidR="009553D7">
            <w:rPr>
              <w:sz w:val="24"/>
              <w:szCs w:val="24"/>
            </w:rPr>
            <w:t>b</w:t>
          </w:r>
          <w:r w:rsidRPr="006C1412">
            <w:rPr>
              <w:sz w:val="24"/>
              <w:szCs w:val="24"/>
            </w:rPr>
            <w:t xml:space="preserve">lend </w:t>
          </w:r>
          <w:r w:rsidR="009553D7">
            <w:rPr>
              <w:sz w:val="24"/>
              <w:szCs w:val="24"/>
            </w:rPr>
            <w:t>p</w:t>
          </w:r>
          <w:r w:rsidRPr="006C1412">
            <w:rPr>
              <w:sz w:val="24"/>
              <w:szCs w:val="24"/>
            </w:rPr>
            <w:t>lants paid $12,250 in registration fees which represented approximately 2.58% of the registration revenue.</w:t>
          </w:r>
          <w:r>
            <w:rPr>
              <w:sz w:val="24"/>
              <w:szCs w:val="24"/>
            </w:rPr>
            <w:t xml:space="preserve"> </w:t>
          </w:r>
          <w:r w:rsidRPr="006C1412">
            <w:rPr>
              <w:sz w:val="24"/>
              <w:szCs w:val="24"/>
            </w:rPr>
            <w:t xml:space="preserve">The cost to the </w:t>
          </w:r>
          <w:r w:rsidR="009553D7">
            <w:rPr>
              <w:sz w:val="24"/>
              <w:szCs w:val="24"/>
            </w:rPr>
            <w:t>b</w:t>
          </w:r>
          <w:r w:rsidRPr="006C1412">
            <w:rPr>
              <w:sz w:val="24"/>
              <w:szCs w:val="24"/>
            </w:rPr>
            <w:t xml:space="preserve">lend </w:t>
          </w:r>
          <w:r w:rsidR="009553D7">
            <w:rPr>
              <w:sz w:val="24"/>
              <w:szCs w:val="24"/>
            </w:rPr>
            <w:t>p</w:t>
          </w:r>
          <w:r w:rsidRPr="006C1412">
            <w:rPr>
              <w:sz w:val="24"/>
              <w:szCs w:val="24"/>
            </w:rPr>
            <w:t xml:space="preserve">lants which was ultimately passed on to the Maine </w:t>
          </w:r>
          <w:r>
            <w:rPr>
              <w:sz w:val="24"/>
              <w:szCs w:val="24"/>
            </w:rPr>
            <w:t>consumer</w:t>
          </w:r>
          <w:r w:rsidRPr="006C1412">
            <w:rPr>
              <w:sz w:val="24"/>
              <w:szCs w:val="24"/>
            </w:rPr>
            <w:t xml:space="preserve"> was reduced by 69.39%</w:t>
          </w:r>
          <w:r>
            <w:rPr>
              <w:sz w:val="24"/>
              <w:szCs w:val="24"/>
            </w:rPr>
            <w:t xml:space="preserve"> after the elimination of the tonnage fees.</w:t>
          </w:r>
          <w:r w:rsidRPr="006C1412">
            <w:rPr>
              <w:sz w:val="24"/>
              <w:szCs w:val="24"/>
            </w:rPr>
            <w:t xml:space="preserve"> </w:t>
          </w:r>
        </w:p>
        <w:p w:rsidR="00175EFF" w:rsidRDefault="00175EFF" w:rsidP="00175EFF">
          <w:pPr>
            <w:spacing w:line="240" w:lineRule="auto"/>
            <w:rPr>
              <w:rFonts w:cs="Times New Roman"/>
              <w:sz w:val="24"/>
              <w:szCs w:val="24"/>
            </w:rPr>
          </w:pPr>
          <w:r w:rsidRPr="008F2761">
            <w:rPr>
              <w:rFonts w:cs="Times New Roman"/>
              <w:sz w:val="24"/>
              <w:szCs w:val="24"/>
            </w:rPr>
            <w:t>Our mission statement for this program is to serve, promote and protect the Agricultural Producers, and Retail Consumers of the State of Maine by continuously working to improve the quality of fertilizer products sold in Maine.</w:t>
          </w:r>
        </w:p>
        <w:p w:rsidR="00175EFF" w:rsidRPr="006C1412" w:rsidRDefault="00175EFF" w:rsidP="006C1412">
          <w:pPr>
            <w:rPr>
              <w:sz w:val="24"/>
              <w:szCs w:val="24"/>
            </w:rPr>
          </w:pPr>
        </w:p>
        <w:p w:rsidR="006C1412" w:rsidRPr="00E061A9" w:rsidRDefault="006C1412" w:rsidP="00E061A9"/>
        <w:p w:rsidR="00151D66" w:rsidRDefault="00151D66" w:rsidP="00722E9A">
          <w:pPr>
            <w:spacing w:line="240" w:lineRule="auto"/>
            <w:rPr>
              <w:rFonts w:ascii="Calibri" w:hAnsi="Calibri" w:cs="Times New Roman"/>
              <w:sz w:val="24"/>
              <w:szCs w:val="24"/>
            </w:rPr>
          </w:pPr>
        </w:p>
        <w:p w:rsidR="00FD3242" w:rsidRDefault="00651FF9" w:rsidP="00677FB7">
          <w:pPr>
            <w:spacing w:line="240" w:lineRule="auto"/>
            <w:rPr>
              <w:rFonts w:cs="Times New Roman"/>
              <w:sz w:val="24"/>
              <w:szCs w:val="24"/>
            </w:rPr>
          </w:pPr>
          <w:r>
            <w:rPr>
              <w:rFonts w:cs="Times New Roman"/>
              <w:sz w:val="24"/>
              <w:szCs w:val="24"/>
            </w:rPr>
            <w:t xml:space="preserve"> </w:t>
          </w:r>
          <w:r w:rsidR="00FD3242">
            <w:rPr>
              <w:rFonts w:cs="Times New Roman"/>
              <w:sz w:val="24"/>
              <w:szCs w:val="24"/>
            </w:rPr>
            <w:t xml:space="preserve"> </w:t>
          </w: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Default="00B931D9" w:rsidP="00677FB7">
          <w:pPr>
            <w:spacing w:line="240" w:lineRule="auto"/>
            <w:rPr>
              <w:rFonts w:cs="Times New Roman"/>
              <w:sz w:val="24"/>
              <w:szCs w:val="24"/>
            </w:rPr>
          </w:pPr>
        </w:p>
        <w:p w:rsidR="00B931D9" w:rsidRPr="00B931D9" w:rsidRDefault="00B931D9" w:rsidP="00B931D9">
          <w:pPr>
            <w:spacing w:line="240" w:lineRule="auto"/>
            <w:jc w:val="center"/>
            <w:rPr>
              <w:rFonts w:cs="Times New Roman"/>
              <w:b/>
              <w:sz w:val="28"/>
              <w:szCs w:val="28"/>
              <w:u w:val="single"/>
            </w:rPr>
          </w:pPr>
          <w:r>
            <w:rPr>
              <w:rFonts w:cs="Times New Roman"/>
              <w:b/>
              <w:sz w:val="28"/>
              <w:szCs w:val="28"/>
              <w:u w:val="single"/>
            </w:rPr>
            <w:lastRenderedPageBreak/>
            <w:t>SAMPLING DATA</w:t>
          </w:r>
        </w:p>
        <w:p w:rsidR="00B931D9" w:rsidRDefault="00E108A8" w:rsidP="00B931D9">
          <w:pPr>
            <w:spacing w:line="240" w:lineRule="auto"/>
            <w:jc w:val="center"/>
            <w:rPr>
              <w:rFonts w:cs="Times New Roman"/>
              <w:sz w:val="24"/>
              <w:szCs w:val="24"/>
            </w:rPr>
          </w:pPr>
          <w:r w:rsidRPr="00E108A8">
            <w:rPr>
              <w:rFonts w:cs="Times New Roman"/>
              <w:noProof/>
              <w:sz w:val="24"/>
              <w:szCs w:val="24"/>
            </w:rPr>
            <mc:AlternateContent>
              <mc:Choice Requires="wps">
                <w:drawing>
                  <wp:anchor distT="0" distB="0" distL="114300" distR="114300" simplePos="0" relativeHeight="251668480" behindDoc="0" locked="0" layoutInCell="1" allowOverlap="1" wp14:editId="36B11C9B">
                    <wp:simplePos x="0" y="0"/>
                    <wp:positionH relativeFrom="column">
                      <wp:posOffset>3288043</wp:posOffset>
                    </wp:positionH>
                    <wp:positionV relativeFrom="paragraph">
                      <wp:posOffset>460808</wp:posOffset>
                    </wp:positionV>
                    <wp:extent cx="2143693" cy="744842"/>
                    <wp:effectExtent l="0" t="0" r="2857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693" cy="744842"/>
                            </a:xfrm>
                            <a:prstGeom prst="rect">
                              <a:avLst/>
                            </a:prstGeom>
                            <a:solidFill>
                              <a:srgbClr val="FFFFFF"/>
                            </a:solidFill>
                            <a:ln w="9525">
                              <a:solidFill>
                                <a:srgbClr val="000000"/>
                              </a:solidFill>
                              <a:miter lim="800000"/>
                              <a:headEnd/>
                              <a:tailEnd/>
                            </a:ln>
                          </wps:spPr>
                          <wps:txbx>
                            <w:txbxContent>
                              <w:p w:rsidR="00E108A8" w:rsidRPr="00E108A8" w:rsidRDefault="00E108A8" w:rsidP="00E108A8">
                                <w:pPr>
                                  <w:pStyle w:val="NormalWeb"/>
                                  <w:spacing w:before="0" w:beforeAutospacing="0" w:after="0" w:afterAutospacing="0"/>
                                  <w:rPr>
                                    <w:sz w:val="16"/>
                                    <w:szCs w:val="16"/>
                                  </w:rPr>
                                </w:pPr>
                                <w:r w:rsidRPr="00E108A8">
                                  <w:rPr>
                                    <w:rFonts w:ascii="Calibri" w:eastAsia="+mn-ea" w:hAnsi="Calibri" w:cs="+mn-cs"/>
                                    <w:color w:val="000000"/>
                                    <w:sz w:val="16"/>
                                    <w:szCs w:val="16"/>
                                  </w:rPr>
                                  <w:t>Our mission statement for this program is to serve, promote and protect the Agricultural Producers, and Retail Consumers of the State of Maine by continuously working to improve the quality of fertilizer products sold in Maine.</w:t>
                                </w:r>
                              </w:p>
                              <w:p w:rsidR="00E108A8" w:rsidRDefault="00E108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9pt;margin-top:36.3pt;width:168.8pt;height:5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">
                    <v:textbox>
                      <w:txbxContent>
                        <w:p w:rsidR="00E108A8" w:rsidRPr="00E108A8" w:rsidRDefault="00E108A8" w:rsidP="00E108A8">
                          <w:pPr>
                            <w:pStyle w:val="NormalWeb"/>
                            <w:spacing w:before="0" w:beforeAutospacing="0" w:after="0" w:afterAutospacing="0"/>
                            <w:rPr>
                              <w:sz w:val="16"/>
                              <w:szCs w:val="16"/>
                            </w:rPr>
                          </w:pPr>
                          <w:r w:rsidRPr="00E108A8">
                            <w:rPr>
                              <w:rFonts w:ascii="Calibri" w:eastAsia="+mn-ea" w:hAnsi="Calibri" w:cs="+mn-cs"/>
                              <w:color w:val="000000"/>
                              <w:sz w:val="16"/>
                              <w:szCs w:val="16"/>
                            </w:rPr>
                            <w:t>Our mission statement for this program is to serve, promote and protect the Agricultural Producers, and Retail Consumers of the State of Maine by continuously working to improve the quality of fertilizer products sold in Maine.</w:t>
                          </w:r>
                        </w:p>
                        <w:p w:rsidR="00E108A8" w:rsidRDefault="00E108A8"/>
                      </w:txbxContent>
                    </v:textbox>
                  </v:shape>
                </w:pict>
              </mc:Fallback>
            </mc:AlternateContent>
          </w:r>
          <w:r w:rsidR="00B931D9">
            <w:rPr>
              <w:noProof/>
            </w:rPr>
            <w:drawing>
              <wp:inline distT="0" distB="0" distL="0" distR="0" wp14:anchorId="0C279F50" wp14:editId="67177E53">
                <wp:extent cx="5120640" cy="2743200"/>
                <wp:effectExtent l="57150" t="57150" r="41910" b="381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31D9" w:rsidRDefault="00B931D9" w:rsidP="00B931D9">
          <w:pPr>
            <w:spacing w:line="240" w:lineRule="auto"/>
            <w:jc w:val="center"/>
            <w:rPr>
              <w:rFonts w:cs="Times New Roman"/>
              <w:sz w:val="24"/>
              <w:szCs w:val="24"/>
            </w:rPr>
          </w:pPr>
        </w:p>
        <w:p w:rsidR="007C7BA1" w:rsidRDefault="007C7BA1" w:rsidP="00B931D9">
          <w:pPr>
            <w:spacing w:line="240" w:lineRule="auto"/>
            <w:jc w:val="center"/>
            <w:rPr>
              <w:rFonts w:cs="Times New Roman"/>
              <w:sz w:val="24"/>
              <w:szCs w:val="24"/>
            </w:rPr>
          </w:pPr>
        </w:p>
        <w:p w:rsidR="00B931D9" w:rsidRDefault="007C7BA1" w:rsidP="007C7BA1">
          <w:pPr>
            <w:spacing w:line="240" w:lineRule="auto"/>
            <w:jc w:val="center"/>
            <w:rPr>
              <w:rFonts w:cs="Times New Roman"/>
              <w:sz w:val="24"/>
              <w:szCs w:val="24"/>
            </w:rPr>
          </w:pPr>
          <w:r w:rsidRPr="001A2573">
            <w:rPr>
              <w:noProof/>
              <w:sz w:val="24"/>
              <w:szCs w:val="24"/>
            </w:rPr>
            <w:drawing>
              <wp:inline distT="0" distB="0" distL="0" distR="0" wp14:anchorId="0B56342F" wp14:editId="051CB67C">
                <wp:extent cx="5120640" cy="2743200"/>
                <wp:effectExtent l="57150" t="57150" r="41910" b="381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7E18" w:rsidRDefault="00487E18" w:rsidP="007C7BA1">
          <w:pPr>
            <w:spacing w:line="240" w:lineRule="auto"/>
            <w:jc w:val="center"/>
            <w:rPr>
              <w:rFonts w:cs="Times New Roman"/>
              <w:sz w:val="24"/>
              <w:szCs w:val="24"/>
            </w:rPr>
          </w:pPr>
          <w:r>
            <w:rPr>
              <w:noProof/>
            </w:rPr>
            <w:lastRenderedPageBreak/>
            <w:drawing>
              <wp:inline distT="0" distB="0" distL="0" distR="0" wp14:anchorId="39916A7F" wp14:editId="1AAF4D80">
                <wp:extent cx="4572000" cy="2743200"/>
                <wp:effectExtent l="57150" t="57150" r="38100" b="381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7E18" w:rsidRDefault="00487E18" w:rsidP="007C7BA1">
          <w:pPr>
            <w:spacing w:line="240" w:lineRule="auto"/>
            <w:jc w:val="center"/>
            <w:rPr>
              <w:rFonts w:cs="Times New Roman"/>
              <w:sz w:val="24"/>
              <w:szCs w:val="24"/>
            </w:rPr>
          </w:pPr>
        </w:p>
        <w:p w:rsidR="00487E18" w:rsidRDefault="00487E18" w:rsidP="007C7BA1">
          <w:pPr>
            <w:spacing w:line="240" w:lineRule="auto"/>
            <w:jc w:val="center"/>
            <w:rPr>
              <w:rFonts w:cs="Times New Roman"/>
              <w:sz w:val="24"/>
              <w:szCs w:val="24"/>
            </w:rPr>
          </w:pPr>
        </w:p>
        <w:p w:rsidR="00487E18" w:rsidRDefault="00487E18" w:rsidP="007C7BA1">
          <w:pPr>
            <w:spacing w:line="240" w:lineRule="auto"/>
            <w:jc w:val="center"/>
            <w:rPr>
              <w:rFonts w:cs="Times New Roman"/>
              <w:sz w:val="24"/>
              <w:szCs w:val="24"/>
            </w:rPr>
          </w:pPr>
          <w:r>
            <w:rPr>
              <w:noProof/>
            </w:rPr>
            <w:drawing>
              <wp:inline distT="0" distB="0" distL="0" distR="0" wp14:anchorId="523CE64A" wp14:editId="055B86F8">
                <wp:extent cx="4572000" cy="2743200"/>
                <wp:effectExtent l="57150" t="57150" r="38100" b="381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7E18" w:rsidRDefault="00487E18" w:rsidP="007C7BA1">
          <w:pPr>
            <w:spacing w:line="240" w:lineRule="auto"/>
            <w:jc w:val="center"/>
            <w:rPr>
              <w:rFonts w:cs="Times New Roman"/>
              <w:sz w:val="24"/>
              <w:szCs w:val="24"/>
            </w:rPr>
          </w:pPr>
        </w:p>
        <w:p w:rsidR="00FB1E7B" w:rsidRDefault="006C6C7A" w:rsidP="00CC695C">
          <w:pPr>
            <w:spacing w:line="240" w:lineRule="auto"/>
          </w:pPr>
        </w:p>
      </w:sdtContent>
    </w:sdt>
    <w:p w:rsidR="00640A95" w:rsidRDefault="00640A95" w:rsidP="00E157B3">
      <w:pPr>
        <w:jc w:val="center"/>
      </w:pPr>
    </w:p>
    <w:p w:rsidR="00640A95" w:rsidRDefault="00640A95" w:rsidP="00E157B3">
      <w:pPr>
        <w:jc w:val="center"/>
      </w:pPr>
    </w:p>
    <w:p w:rsidR="00640A95" w:rsidRDefault="00640A95" w:rsidP="00E157B3">
      <w:pPr>
        <w:jc w:val="center"/>
      </w:pPr>
    </w:p>
    <w:p w:rsidR="00640A95" w:rsidRDefault="00640A95" w:rsidP="00E157B3">
      <w:pPr>
        <w:jc w:val="center"/>
      </w:pPr>
    </w:p>
    <w:p w:rsidR="00696144" w:rsidRDefault="00696144" w:rsidP="00B058E3">
      <w:pPr>
        <w:jc w:val="center"/>
      </w:pPr>
      <w:r w:rsidRPr="00696144">
        <w:rPr>
          <w:noProof/>
        </w:rPr>
        <w:drawing>
          <wp:inline distT="0" distB="0" distL="0" distR="0" wp14:anchorId="0A020F5A" wp14:editId="0C13B41C">
            <wp:extent cx="6001128" cy="74787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79" cy="7478265"/>
                    </a:xfrm>
                    <a:prstGeom prst="rect">
                      <a:avLst/>
                    </a:prstGeom>
                    <a:noFill/>
                    <a:ln>
                      <a:noFill/>
                    </a:ln>
                  </pic:spPr>
                </pic:pic>
              </a:graphicData>
            </a:graphic>
          </wp:inline>
        </w:drawing>
      </w:r>
    </w:p>
    <w:p w:rsidR="00F07379" w:rsidRDefault="00F07379" w:rsidP="00E157B3">
      <w:pPr>
        <w:jc w:val="center"/>
      </w:pPr>
    </w:p>
    <w:p w:rsidR="00B058E3" w:rsidRDefault="00B058E3" w:rsidP="00E157B3">
      <w:pPr>
        <w:jc w:val="center"/>
      </w:pPr>
    </w:p>
    <w:p w:rsidR="00640A95" w:rsidRDefault="0027152C" w:rsidP="00374B9B">
      <w:pPr>
        <w:jc w:val="center"/>
      </w:pPr>
      <w:r>
        <w:rPr>
          <w:noProof/>
        </w:rPr>
        <mc:AlternateContent>
          <mc:Choice Requires="wps">
            <w:drawing>
              <wp:anchor distT="0" distB="0" distL="114300" distR="114300" simplePos="0" relativeHeight="251666432" behindDoc="0" locked="0" layoutInCell="1" allowOverlap="1" wp14:anchorId="3210B756" wp14:editId="46563622">
                <wp:simplePos x="0" y="0"/>
                <wp:positionH relativeFrom="column">
                  <wp:posOffset>1556183</wp:posOffset>
                </wp:positionH>
                <wp:positionV relativeFrom="paragraph">
                  <wp:posOffset>985079</wp:posOffset>
                </wp:positionV>
                <wp:extent cx="1059588" cy="254337"/>
                <wp:effectExtent l="0" t="0" r="2667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588" cy="254337"/>
                        </a:xfrm>
                        <a:prstGeom prst="rect">
                          <a:avLst/>
                        </a:prstGeom>
                        <a:solidFill>
                          <a:schemeClr val="accent6">
                            <a:lumMod val="20000"/>
                            <a:lumOff val="80000"/>
                          </a:schemeClr>
                        </a:solidFill>
                        <a:ln w="6350">
                          <a:solidFill>
                            <a:srgbClr val="000000"/>
                          </a:solidFill>
                          <a:miter lim="800000"/>
                          <a:headEnd/>
                          <a:tailEnd/>
                        </a:ln>
                      </wps:spPr>
                      <wps:txbx>
                        <w:txbxContent>
                          <w:p w:rsidR="0027152C" w:rsidRDefault="0027152C">
                            <w:r>
                              <w:t>Average 16.6%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2.55pt;margin-top:77.55pt;width:83.45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" fillcolor="#fde9d9 [665]" strokeweight=".5pt">
                <v:textbox>
                  <w:txbxContent>
                    <w:p w:rsidR="0027152C" w:rsidRDefault="0027152C">
                      <w:r>
                        <w:t>Average 16.6%</w:t>
                      </w:r>
                    </w:p>
                  </w:txbxContent>
                </v:textbox>
              </v:shape>
            </w:pict>
          </mc:Fallback>
        </mc:AlternateContent>
      </w:r>
      <w:r w:rsidR="00640A95">
        <w:rPr>
          <w:noProof/>
        </w:rPr>
        <w:drawing>
          <wp:inline distT="0" distB="0" distL="0" distR="0" wp14:anchorId="6942D569" wp14:editId="4401FD21">
            <wp:extent cx="5892127" cy="2894591"/>
            <wp:effectExtent l="38100" t="57150" r="52070" b="393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797B" w:rsidRDefault="00D7797B" w:rsidP="00374B9B">
      <w:pPr>
        <w:jc w:val="center"/>
      </w:pPr>
    </w:p>
    <w:p w:rsidR="00696144" w:rsidRDefault="00696144" w:rsidP="00374B9B">
      <w:pPr>
        <w:jc w:val="center"/>
      </w:pPr>
    </w:p>
    <w:p w:rsidR="00473350" w:rsidRDefault="00640A95" w:rsidP="00E157B3">
      <w:pPr>
        <w:jc w:val="center"/>
      </w:pPr>
      <w:r>
        <w:rPr>
          <w:noProof/>
        </w:rPr>
        <w:drawing>
          <wp:anchor distT="0" distB="0" distL="114300" distR="114300" simplePos="0" relativeHeight="251664384" behindDoc="0" locked="0" layoutInCell="1" allowOverlap="1" wp14:anchorId="235582A8" wp14:editId="2282211A">
            <wp:simplePos x="0" y="0"/>
            <wp:positionH relativeFrom="column">
              <wp:posOffset>-708660</wp:posOffset>
            </wp:positionH>
            <wp:positionV relativeFrom="page">
              <wp:posOffset>1247140</wp:posOffset>
            </wp:positionV>
            <wp:extent cx="7308850" cy="3021330"/>
            <wp:effectExtent l="38100" t="57150" r="44450" b="4572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473350" w:rsidRDefault="00C07AD0" w:rsidP="00E157B3">
      <w:pPr>
        <w:jc w:val="center"/>
        <w:rPr>
          <w:b/>
          <w:sz w:val="28"/>
          <w:szCs w:val="28"/>
          <w:u w:val="single"/>
        </w:rPr>
      </w:pPr>
      <w:r>
        <w:rPr>
          <w:b/>
          <w:sz w:val="28"/>
          <w:szCs w:val="28"/>
          <w:u w:val="single"/>
        </w:rPr>
        <w:lastRenderedPageBreak/>
        <w:t>TONNAGE DATA</w:t>
      </w:r>
    </w:p>
    <w:p w:rsidR="00C07AD0" w:rsidRDefault="00C07AD0" w:rsidP="00E157B3">
      <w:pPr>
        <w:jc w:val="center"/>
        <w:rPr>
          <w:b/>
          <w:u w:val="single"/>
        </w:rPr>
      </w:pPr>
      <w:r>
        <w:rPr>
          <w:noProof/>
        </w:rPr>
        <w:drawing>
          <wp:inline distT="0" distB="0" distL="0" distR="0" wp14:anchorId="0254FB36" wp14:editId="5DDC86FF">
            <wp:extent cx="4572000" cy="2743200"/>
            <wp:effectExtent l="57150" t="57150" r="38100" b="381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7AD0" w:rsidRDefault="00C07AD0" w:rsidP="00E157B3">
      <w:pPr>
        <w:jc w:val="center"/>
        <w:rPr>
          <w:b/>
          <w:u w:val="single"/>
        </w:rPr>
      </w:pPr>
    </w:p>
    <w:p w:rsidR="00C07AD0" w:rsidRPr="00531CED" w:rsidRDefault="00C07AD0" w:rsidP="00C07AD0">
      <w:pPr>
        <w:jc w:val="center"/>
        <w:rPr>
          <w:b/>
        </w:rPr>
      </w:pPr>
      <w:r w:rsidRPr="00531CED">
        <w:rPr>
          <w:b/>
        </w:rPr>
        <w:t>FERTILIZER SUMMARY</w:t>
      </w:r>
    </w:p>
    <w:p w:rsidR="00C07AD0" w:rsidRDefault="00C07AD0" w:rsidP="00C07AD0">
      <w:pPr>
        <w:jc w:val="center"/>
        <w:rPr>
          <w:b/>
        </w:rPr>
      </w:pPr>
      <w:r w:rsidRPr="00531CED">
        <w:rPr>
          <w:b/>
        </w:rPr>
        <w:tab/>
        <w:t>DIVISION OF QUALITY ASSURANCE &amp; REGULATIONS – MAINE</w:t>
      </w:r>
    </w:p>
    <w:p w:rsidR="00C07AD0" w:rsidRPr="00531CED" w:rsidRDefault="00C07AD0" w:rsidP="00C07AD0">
      <w:pPr>
        <w:jc w:val="center"/>
        <w:rPr>
          <w:b/>
        </w:rPr>
      </w:pPr>
      <w:r>
        <w:rPr>
          <w:b/>
        </w:rPr>
        <w:t>(Example of Tonnage Report Summary for 2016)</w:t>
      </w:r>
    </w:p>
    <w:p w:rsidR="00C07AD0" w:rsidRPr="00BB3D99" w:rsidRDefault="00C07AD0" w:rsidP="00C07AD0">
      <w:pPr>
        <w:widowControl w:val="0"/>
        <w:tabs>
          <w:tab w:val="center" w:pos="4560"/>
        </w:tabs>
        <w:autoSpaceDE w:val="0"/>
        <w:autoSpaceDN w:val="0"/>
        <w:adjustRightInd w:val="0"/>
        <w:spacing w:before="116" w:after="0" w:line="240" w:lineRule="auto"/>
        <w:jc w:val="center"/>
        <w:rPr>
          <w:rFonts w:ascii="Arial" w:eastAsiaTheme="minorEastAsia" w:hAnsi="Arial" w:cs="Arial"/>
          <w:b/>
          <w:color w:val="000000"/>
        </w:rPr>
      </w:pPr>
      <w:r w:rsidRPr="00D74C6A">
        <w:rPr>
          <w:rFonts w:ascii="Arial" w:eastAsiaTheme="minorEastAsia" w:hAnsi="Arial" w:cs="Arial"/>
          <w:b/>
          <w:color w:val="000000"/>
          <w:sz w:val="18"/>
          <w:szCs w:val="18"/>
        </w:rPr>
        <w:t>TONNAGE REPORT</w:t>
      </w:r>
    </w:p>
    <w:p w:rsidR="00C07AD0" w:rsidRPr="00BB3D99" w:rsidRDefault="00C07AD0" w:rsidP="00C07AD0">
      <w:pPr>
        <w:widowControl w:val="0"/>
        <w:tabs>
          <w:tab w:val="center" w:pos="4530"/>
        </w:tabs>
        <w:autoSpaceDE w:val="0"/>
        <w:autoSpaceDN w:val="0"/>
        <w:adjustRightInd w:val="0"/>
        <w:spacing w:before="101" w:after="0" w:line="240" w:lineRule="auto"/>
        <w:rPr>
          <w:rFonts w:ascii="Arial" w:eastAsiaTheme="minorEastAsia" w:hAnsi="Arial" w:cs="Arial"/>
          <w:b/>
          <w:bCs/>
          <w:color w:val="000000"/>
        </w:rPr>
      </w:pPr>
      <w:r w:rsidRPr="00BB3D99">
        <w:rPr>
          <w:rFonts w:ascii="Arial" w:eastAsiaTheme="minorEastAsia" w:hAnsi="Arial" w:cs="Arial"/>
          <w:sz w:val="24"/>
          <w:szCs w:val="24"/>
        </w:rPr>
        <w:tab/>
      </w:r>
      <w:r w:rsidRPr="00BB3D99">
        <w:rPr>
          <w:rFonts w:ascii="Arial" w:eastAsiaTheme="minorEastAsia" w:hAnsi="Arial" w:cs="Arial"/>
          <w:b/>
          <w:bCs/>
          <w:color w:val="000000"/>
          <w:sz w:val="18"/>
          <w:szCs w:val="18"/>
        </w:rPr>
        <w:t>From</w:t>
      </w:r>
      <w:r>
        <w:rPr>
          <w:rFonts w:ascii="Arial" w:eastAsiaTheme="minorEastAsia" w:hAnsi="Arial" w:cs="Arial"/>
          <w:b/>
          <w:bCs/>
          <w:color w:val="000000"/>
          <w:sz w:val="18"/>
          <w:szCs w:val="18"/>
        </w:rPr>
        <w:t>:</w:t>
      </w:r>
      <w:r w:rsidRPr="00BB3D99">
        <w:rPr>
          <w:rFonts w:ascii="Arial" w:eastAsiaTheme="minorEastAsia" w:hAnsi="Arial" w:cs="Arial"/>
          <w:b/>
          <w:bCs/>
          <w:color w:val="000000"/>
          <w:sz w:val="18"/>
          <w:szCs w:val="18"/>
        </w:rPr>
        <w:t xml:space="preserve">  July, 2015  </w:t>
      </w:r>
      <w:r>
        <w:rPr>
          <w:rFonts w:ascii="Arial" w:eastAsiaTheme="minorEastAsia" w:hAnsi="Arial" w:cs="Arial"/>
          <w:b/>
          <w:bCs/>
          <w:color w:val="000000"/>
          <w:sz w:val="18"/>
          <w:szCs w:val="18"/>
        </w:rPr>
        <w:t>t</w:t>
      </w:r>
      <w:r w:rsidRPr="00BB3D99">
        <w:rPr>
          <w:rFonts w:ascii="Arial" w:eastAsiaTheme="minorEastAsia" w:hAnsi="Arial" w:cs="Arial"/>
          <w:b/>
          <w:bCs/>
          <w:color w:val="000000"/>
          <w:sz w:val="18"/>
          <w:szCs w:val="18"/>
        </w:rPr>
        <w:t>o  June, 2016</w:t>
      </w:r>
    </w:p>
    <w:p w:rsidR="00C07AD0" w:rsidRPr="00BB3D99" w:rsidRDefault="00C07AD0" w:rsidP="00C07AD0">
      <w:pPr>
        <w:widowControl w:val="0"/>
        <w:tabs>
          <w:tab w:val="left" w:pos="4680"/>
          <w:tab w:val="left" w:pos="7680"/>
        </w:tabs>
        <w:autoSpaceDE w:val="0"/>
        <w:autoSpaceDN w:val="0"/>
        <w:adjustRightInd w:val="0"/>
        <w:spacing w:before="596" w:after="0" w:line="240" w:lineRule="auto"/>
        <w:rPr>
          <w:rFonts w:ascii="Arial" w:eastAsiaTheme="minorEastAsia" w:hAnsi="Arial" w:cs="Arial"/>
          <w:color w:val="000000"/>
          <w:sz w:val="21"/>
          <w:szCs w:val="21"/>
          <w:u w:val="single"/>
        </w:rPr>
      </w:pPr>
      <w:r w:rsidRPr="00BB3D99">
        <w:rPr>
          <w:rFonts w:ascii="Arial" w:eastAsiaTheme="minorEastAsia" w:hAnsi="Arial" w:cs="Arial"/>
          <w:sz w:val="24"/>
          <w:szCs w:val="24"/>
        </w:rPr>
        <w:tab/>
      </w:r>
      <w:r w:rsidRPr="00BB3D99">
        <w:rPr>
          <w:rFonts w:ascii="Arial" w:eastAsiaTheme="minorEastAsia" w:hAnsi="Arial" w:cs="Arial"/>
          <w:b/>
          <w:color w:val="000000"/>
          <w:sz w:val="16"/>
          <w:szCs w:val="16"/>
          <w:u w:val="single"/>
        </w:rPr>
        <w:t>CONTAINER</w:t>
      </w:r>
      <w:r w:rsidRPr="00BB3D99">
        <w:rPr>
          <w:rFonts w:ascii="Arial" w:eastAsiaTheme="minorEastAsia" w:hAnsi="Arial" w:cs="Arial"/>
          <w:sz w:val="24"/>
          <w:szCs w:val="24"/>
        </w:rPr>
        <w:tab/>
      </w:r>
      <w:r w:rsidRPr="00BB3D99">
        <w:rPr>
          <w:rFonts w:ascii="Arial" w:eastAsiaTheme="minorEastAsia" w:hAnsi="Arial" w:cs="Arial"/>
          <w:b/>
          <w:color w:val="000000"/>
          <w:sz w:val="16"/>
          <w:szCs w:val="16"/>
          <w:u w:val="single"/>
        </w:rPr>
        <w:t>USE</w:t>
      </w:r>
    </w:p>
    <w:p w:rsidR="00C07AD0" w:rsidRPr="00BB3D99" w:rsidRDefault="00C07AD0" w:rsidP="00C07AD0">
      <w:pPr>
        <w:widowControl w:val="0"/>
        <w:tabs>
          <w:tab w:val="left" w:pos="2640"/>
          <w:tab w:val="left" w:pos="3960"/>
          <w:tab w:val="left" w:pos="5160"/>
          <w:tab w:val="left" w:pos="6180"/>
          <w:tab w:val="left" w:pos="7440"/>
          <w:tab w:val="left" w:pos="8220"/>
        </w:tabs>
        <w:autoSpaceDE w:val="0"/>
        <w:autoSpaceDN w:val="0"/>
        <w:adjustRightInd w:val="0"/>
        <w:spacing w:before="240" w:after="0" w:line="240" w:lineRule="auto"/>
        <w:rPr>
          <w:rFonts w:ascii="Arial" w:eastAsiaTheme="minorEastAsia" w:hAnsi="Arial" w:cs="Arial"/>
          <w:color w:val="000000"/>
          <w:sz w:val="21"/>
          <w:szCs w:val="21"/>
        </w:rPr>
      </w:pPr>
      <w:r w:rsidRPr="00BB3D99">
        <w:rPr>
          <w:rFonts w:ascii="Arial" w:eastAsiaTheme="minorEastAsia" w:hAnsi="Arial" w:cs="Arial"/>
          <w:sz w:val="24"/>
          <w:szCs w:val="24"/>
        </w:rPr>
        <w:tab/>
      </w:r>
      <w:r w:rsidRPr="00BB3D99">
        <w:rPr>
          <w:rFonts w:ascii="Arial" w:eastAsiaTheme="minorEastAsia" w:hAnsi="Arial" w:cs="Arial"/>
          <w:color w:val="000000"/>
          <w:sz w:val="16"/>
          <w:szCs w:val="16"/>
        </w:rPr>
        <w:t>TOTAL</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BAG</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BULK</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LIQUID</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FARM</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NONFARM</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80"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MULTI-NUTRIENT</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37,846.00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11,793.00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22,420.00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3,633.00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28,626.00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9,220.00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NITROGEN</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24,085.00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753.00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17,768.00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5,564.00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23,803.00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282.00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PHOSPHATE</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60.00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51.00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0.00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9.00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28.00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32.00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POTASH</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15,424.00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254.00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15,081.00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89.00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15,197.00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227.00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ORGANICS</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3,684.00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3,361.00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320.00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279.00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3,405.00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SEC/MICRO</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5,010.00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4,712.00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134.00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164.00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500.00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4,510.00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LIME</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19,527.00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2,922.00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16,603.00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17,256.00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2,271.00</w:t>
      </w:r>
    </w:p>
    <w:p w:rsidR="00C07AD0" w:rsidRPr="00BB3D99" w:rsidRDefault="00C07AD0" w:rsidP="00C07AD0">
      <w:pPr>
        <w:widowControl w:val="0"/>
        <w:tabs>
          <w:tab w:val="left" w:pos="120"/>
          <w:tab w:val="right" w:pos="3240"/>
          <w:tab w:val="right" w:pos="4380"/>
          <w:tab w:val="right" w:pos="5580"/>
          <w:tab w:val="right" w:pos="6720"/>
          <w:tab w:val="right" w:pos="7980"/>
          <w:tab w:val="right" w:pos="9060"/>
        </w:tabs>
        <w:autoSpaceDE w:val="0"/>
        <w:autoSpaceDN w:val="0"/>
        <w:adjustRightInd w:val="0"/>
        <w:spacing w:before="101" w:after="0" w:line="240" w:lineRule="auto"/>
        <w:rPr>
          <w:rFonts w:ascii="Arial" w:eastAsiaTheme="minorEastAsia" w:hAnsi="Arial" w:cs="Arial"/>
          <w:color w:val="000000"/>
        </w:rPr>
      </w:pPr>
      <w:r w:rsidRPr="00BB3D99">
        <w:rPr>
          <w:rFonts w:ascii="Arial" w:eastAsiaTheme="minorEastAsia" w:hAnsi="Arial" w:cs="Arial"/>
          <w:sz w:val="24"/>
          <w:szCs w:val="24"/>
        </w:rPr>
        <w:tab/>
      </w:r>
      <w:r w:rsidRPr="00BB3D99">
        <w:rPr>
          <w:rFonts w:ascii="Arial" w:eastAsiaTheme="minorEastAsia" w:hAnsi="Arial" w:cs="Arial"/>
          <w:color w:val="000000"/>
          <w:sz w:val="18"/>
          <w:szCs w:val="18"/>
        </w:rPr>
        <w:t>MISCELLANEOUS</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782.09</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157.09</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569.00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56.00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606.00</w:t>
      </w:r>
      <w:r w:rsidRPr="00BB3D99">
        <w:rPr>
          <w:rFonts w:ascii="Arial" w:eastAsiaTheme="minorEastAsia" w:hAnsi="Arial" w:cs="Arial"/>
          <w:sz w:val="24"/>
          <w:szCs w:val="24"/>
        </w:rPr>
        <w:tab/>
      </w:r>
      <w:r w:rsidRPr="00BB3D99">
        <w:rPr>
          <w:rFonts w:ascii="Arial" w:eastAsiaTheme="minorEastAsia" w:hAnsi="Arial" w:cs="Arial"/>
          <w:color w:val="000000"/>
          <w:sz w:val="16"/>
          <w:szCs w:val="16"/>
        </w:rPr>
        <w:t>176.09</w:t>
      </w:r>
    </w:p>
    <w:p w:rsidR="00C07AD0" w:rsidRDefault="00C07AD0" w:rsidP="00C07AD0">
      <w:pPr>
        <w:widowControl w:val="0"/>
        <w:tabs>
          <w:tab w:val="left" w:pos="180"/>
          <w:tab w:val="right" w:pos="3360"/>
          <w:tab w:val="right" w:pos="4500"/>
          <w:tab w:val="right" w:pos="5760"/>
          <w:tab w:val="right" w:pos="6885"/>
          <w:tab w:val="right" w:pos="8100"/>
          <w:tab w:val="right" w:pos="9075"/>
        </w:tabs>
        <w:autoSpaceDE w:val="0"/>
        <w:autoSpaceDN w:val="0"/>
        <w:adjustRightInd w:val="0"/>
        <w:spacing w:before="506" w:after="0" w:line="240" w:lineRule="auto"/>
        <w:rPr>
          <w:rFonts w:ascii="Arial" w:eastAsiaTheme="minorEastAsia" w:hAnsi="Arial" w:cs="Arial"/>
          <w:b/>
          <w:color w:val="003300"/>
          <w:sz w:val="18"/>
          <w:szCs w:val="18"/>
        </w:rPr>
      </w:pPr>
      <w:r w:rsidRPr="00BB3D99">
        <w:rPr>
          <w:rFonts w:ascii="Arial" w:eastAsiaTheme="minorEastAsia" w:hAnsi="Arial" w:cs="Arial"/>
          <w:sz w:val="24"/>
          <w:szCs w:val="24"/>
        </w:rPr>
        <w:tab/>
      </w:r>
      <w:r w:rsidRPr="00BB3D99">
        <w:rPr>
          <w:rFonts w:ascii="Arial" w:eastAsiaTheme="minorEastAsia" w:hAnsi="Arial" w:cs="Arial"/>
          <w:b/>
          <w:color w:val="003300"/>
          <w:sz w:val="18"/>
          <w:szCs w:val="18"/>
        </w:rPr>
        <w:t xml:space="preserve">   TOTAL</w:t>
      </w:r>
      <w:r w:rsidRPr="00BB3D99">
        <w:rPr>
          <w:rFonts w:ascii="Arial" w:eastAsiaTheme="minorEastAsia" w:hAnsi="Arial" w:cs="Arial"/>
          <w:b/>
          <w:sz w:val="24"/>
          <w:szCs w:val="24"/>
        </w:rPr>
        <w:tab/>
      </w:r>
      <w:r w:rsidRPr="00BB3D99">
        <w:rPr>
          <w:rFonts w:ascii="Arial" w:eastAsiaTheme="minorEastAsia" w:hAnsi="Arial" w:cs="Arial"/>
          <w:b/>
          <w:color w:val="003300"/>
          <w:sz w:val="18"/>
          <w:szCs w:val="18"/>
        </w:rPr>
        <w:t>106,418.09</w:t>
      </w:r>
      <w:r w:rsidRPr="00BB3D99">
        <w:rPr>
          <w:rFonts w:ascii="Arial" w:eastAsiaTheme="minorEastAsia" w:hAnsi="Arial" w:cs="Arial"/>
          <w:b/>
          <w:sz w:val="24"/>
          <w:szCs w:val="24"/>
        </w:rPr>
        <w:tab/>
      </w:r>
      <w:r w:rsidRPr="00BB3D99">
        <w:rPr>
          <w:rFonts w:ascii="Arial" w:eastAsiaTheme="minorEastAsia" w:hAnsi="Arial" w:cs="Arial"/>
          <w:b/>
          <w:color w:val="003300"/>
          <w:sz w:val="18"/>
          <w:szCs w:val="18"/>
        </w:rPr>
        <w:t>24,003.09</w:t>
      </w:r>
      <w:r w:rsidRPr="00BB3D99">
        <w:rPr>
          <w:rFonts w:ascii="Arial" w:eastAsiaTheme="minorEastAsia" w:hAnsi="Arial" w:cs="Arial"/>
          <w:b/>
          <w:sz w:val="24"/>
          <w:szCs w:val="24"/>
        </w:rPr>
        <w:tab/>
      </w:r>
      <w:r w:rsidRPr="00BB3D99">
        <w:rPr>
          <w:rFonts w:ascii="Arial" w:eastAsiaTheme="minorEastAsia" w:hAnsi="Arial" w:cs="Arial"/>
          <w:b/>
          <w:color w:val="003300"/>
          <w:sz w:val="18"/>
          <w:szCs w:val="18"/>
        </w:rPr>
        <w:t>72,895.00</w:t>
      </w:r>
      <w:r w:rsidRPr="00BB3D99">
        <w:rPr>
          <w:rFonts w:ascii="Arial" w:eastAsiaTheme="minorEastAsia" w:hAnsi="Arial" w:cs="Arial"/>
          <w:b/>
          <w:sz w:val="24"/>
          <w:szCs w:val="24"/>
        </w:rPr>
        <w:tab/>
      </w:r>
      <w:r w:rsidRPr="00BB3D99">
        <w:rPr>
          <w:rFonts w:ascii="Arial" w:eastAsiaTheme="minorEastAsia" w:hAnsi="Arial" w:cs="Arial"/>
          <w:b/>
          <w:color w:val="003300"/>
          <w:sz w:val="18"/>
          <w:szCs w:val="18"/>
        </w:rPr>
        <w:t>9,520.00</w:t>
      </w:r>
      <w:r w:rsidRPr="00BB3D99">
        <w:rPr>
          <w:rFonts w:ascii="Arial" w:eastAsiaTheme="minorEastAsia" w:hAnsi="Arial" w:cs="Arial"/>
          <w:b/>
          <w:sz w:val="24"/>
          <w:szCs w:val="24"/>
        </w:rPr>
        <w:tab/>
      </w:r>
      <w:r w:rsidRPr="00BB3D99">
        <w:rPr>
          <w:rFonts w:ascii="Arial" w:eastAsiaTheme="minorEastAsia" w:hAnsi="Arial" w:cs="Arial"/>
          <w:b/>
          <w:color w:val="003300"/>
          <w:sz w:val="18"/>
          <w:szCs w:val="18"/>
        </w:rPr>
        <w:t>86,295.00</w:t>
      </w:r>
      <w:r w:rsidRPr="00BB3D99">
        <w:rPr>
          <w:rFonts w:ascii="Arial" w:eastAsiaTheme="minorEastAsia" w:hAnsi="Arial" w:cs="Arial"/>
          <w:b/>
          <w:sz w:val="24"/>
          <w:szCs w:val="24"/>
        </w:rPr>
        <w:tab/>
      </w:r>
      <w:r w:rsidRPr="00BB3D99">
        <w:rPr>
          <w:rFonts w:ascii="Arial" w:eastAsiaTheme="minorEastAsia" w:hAnsi="Arial" w:cs="Arial"/>
          <w:b/>
          <w:color w:val="003300"/>
          <w:sz w:val="18"/>
          <w:szCs w:val="18"/>
        </w:rPr>
        <w:t>20,123.09</w:t>
      </w:r>
    </w:p>
    <w:p w:rsidR="00C07AD0" w:rsidRPr="00C07AD0" w:rsidRDefault="00C07AD0" w:rsidP="00E157B3">
      <w:pPr>
        <w:jc w:val="center"/>
        <w:rPr>
          <w:b/>
          <w:u w:val="single"/>
        </w:rPr>
      </w:pPr>
    </w:p>
    <w:p w:rsidR="00473350" w:rsidRDefault="00355436" w:rsidP="00E157B3">
      <w:pPr>
        <w:jc w:val="center"/>
        <w:rPr>
          <w:b/>
          <w:sz w:val="28"/>
          <w:szCs w:val="28"/>
          <w:u w:val="single"/>
        </w:rPr>
      </w:pPr>
      <w:r>
        <w:rPr>
          <w:b/>
          <w:sz w:val="28"/>
          <w:szCs w:val="28"/>
          <w:u w:val="single"/>
        </w:rPr>
        <w:lastRenderedPageBreak/>
        <w:t>PRODUCT REGISTRATION</w:t>
      </w:r>
    </w:p>
    <w:p w:rsidR="00355436" w:rsidRDefault="00355436" w:rsidP="00E157B3">
      <w:pPr>
        <w:jc w:val="center"/>
        <w:rPr>
          <w:b/>
          <w:sz w:val="28"/>
          <w:szCs w:val="28"/>
          <w:u w:val="single"/>
        </w:rPr>
      </w:pPr>
      <w:r>
        <w:rPr>
          <w:noProof/>
        </w:rPr>
        <w:drawing>
          <wp:inline distT="0" distB="0" distL="0" distR="0" wp14:anchorId="08D609CF" wp14:editId="2324865C">
            <wp:extent cx="5120640" cy="2743200"/>
            <wp:effectExtent l="57150" t="57150" r="41910" b="381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5436" w:rsidRDefault="00355436" w:rsidP="00E157B3">
      <w:pPr>
        <w:jc w:val="center"/>
        <w:rPr>
          <w:b/>
          <w:sz w:val="28"/>
          <w:szCs w:val="28"/>
          <w:u w:val="single"/>
        </w:rPr>
      </w:pPr>
    </w:p>
    <w:p w:rsidR="00355436" w:rsidRPr="00355436" w:rsidRDefault="00355436" w:rsidP="00E157B3">
      <w:pPr>
        <w:jc w:val="center"/>
        <w:rPr>
          <w:b/>
          <w:u w:val="single"/>
        </w:rPr>
      </w:pPr>
      <w:r w:rsidRPr="00355436">
        <w:rPr>
          <w:b/>
          <w:noProof/>
          <w:u w:val="single"/>
        </w:rPr>
        <mc:AlternateContent>
          <mc:Choice Requires="wps">
            <w:drawing>
              <wp:anchor distT="0" distB="0" distL="114300" distR="114300" simplePos="0" relativeHeight="251670528" behindDoc="0" locked="0" layoutInCell="1" allowOverlap="1" wp14:editId="36B11C9B">
                <wp:simplePos x="0" y="0"/>
                <wp:positionH relativeFrom="column">
                  <wp:posOffset>4541394</wp:posOffset>
                </wp:positionH>
                <wp:positionV relativeFrom="paragraph">
                  <wp:posOffset>3048417</wp:posOffset>
                </wp:positionV>
                <wp:extent cx="1386134" cy="320948"/>
                <wp:effectExtent l="0" t="0" r="2413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134" cy="320948"/>
                        </a:xfrm>
                        <a:prstGeom prst="rect">
                          <a:avLst/>
                        </a:prstGeom>
                        <a:solidFill>
                          <a:schemeClr val="accent6">
                            <a:lumMod val="20000"/>
                            <a:lumOff val="80000"/>
                          </a:schemeClr>
                        </a:solidFill>
                        <a:ln w="6350">
                          <a:headEnd/>
                          <a:tailEnd/>
                        </a:ln>
                      </wps:spPr>
                      <wps:style>
                        <a:lnRef idx="2">
                          <a:schemeClr val="dk1"/>
                        </a:lnRef>
                        <a:fillRef idx="1">
                          <a:schemeClr val="lt1"/>
                        </a:fillRef>
                        <a:effectRef idx="0">
                          <a:schemeClr val="dk1"/>
                        </a:effectRef>
                        <a:fontRef idx="minor">
                          <a:schemeClr val="dk1"/>
                        </a:fontRef>
                      </wps:style>
                      <wps:txbx>
                        <w:txbxContent>
                          <w:p w:rsidR="00355436" w:rsidRPr="00355436" w:rsidRDefault="00355436" w:rsidP="00355436">
                            <w:pPr>
                              <w:pStyle w:val="NormalWeb"/>
                              <w:spacing w:before="0" w:beforeAutospacing="0" w:after="0" w:afterAutospacing="0"/>
                              <w:rPr>
                                <w:sz w:val="16"/>
                                <w:szCs w:val="16"/>
                              </w:rPr>
                            </w:pPr>
                            <w:r w:rsidRPr="00355436">
                              <w:rPr>
                                <w:rFonts w:ascii="Calibri" w:eastAsia="+mn-ea" w:hAnsi="Calibri" w:cs="+mn-cs"/>
                                <w:color w:val="000000"/>
                                <w:sz w:val="16"/>
                                <w:szCs w:val="16"/>
                              </w:rPr>
                              <w:t>Values from Data Advice  for Period : 11/1/15 to 9/30/16</w:t>
                            </w:r>
                          </w:p>
                          <w:p w:rsidR="00355436" w:rsidRDefault="003554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7.6pt;margin-top:240.05pt;width:109.1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" fillcolor="#fde9d9 [665]" strokecolor="black [3200]" strokeweight=".5pt">
                <v:textbox>
                  <w:txbxContent>
                    <w:p w:rsidR="00355436" w:rsidRPr="00355436" w:rsidRDefault="00355436" w:rsidP="00355436">
                      <w:pPr>
                        <w:pStyle w:val="NormalWeb"/>
                        <w:spacing w:before="0" w:beforeAutospacing="0" w:after="0" w:afterAutospacing="0"/>
                        <w:rPr>
                          <w:sz w:val="16"/>
                          <w:szCs w:val="16"/>
                        </w:rPr>
                      </w:pPr>
                      <w:r w:rsidRPr="00355436">
                        <w:rPr>
                          <w:rFonts w:ascii="Calibri" w:eastAsia="+mn-ea" w:hAnsi="Calibri" w:cs="+mn-cs"/>
                          <w:color w:val="000000"/>
                          <w:sz w:val="16"/>
                          <w:szCs w:val="16"/>
                        </w:rPr>
                        <w:t xml:space="preserve">Values from Data </w:t>
                      </w:r>
                      <w:proofErr w:type="gramStart"/>
                      <w:r w:rsidRPr="00355436">
                        <w:rPr>
                          <w:rFonts w:ascii="Calibri" w:eastAsia="+mn-ea" w:hAnsi="Calibri" w:cs="+mn-cs"/>
                          <w:color w:val="000000"/>
                          <w:sz w:val="16"/>
                          <w:szCs w:val="16"/>
                        </w:rPr>
                        <w:t>Advice  for</w:t>
                      </w:r>
                      <w:proofErr w:type="gramEnd"/>
                      <w:r w:rsidRPr="00355436">
                        <w:rPr>
                          <w:rFonts w:ascii="Calibri" w:eastAsia="+mn-ea" w:hAnsi="Calibri" w:cs="+mn-cs"/>
                          <w:color w:val="000000"/>
                          <w:sz w:val="16"/>
                          <w:szCs w:val="16"/>
                        </w:rPr>
                        <w:t xml:space="preserve"> Period : 11/1/15 to 9/30/16</w:t>
                      </w:r>
                    </w:p>
                    <w:p w:rsidR="00355436" w:rsidRDefault="00355436"/>
                  </w:txbxContent>
                </v:textbox>
              </v:shape>
            </w:pict>
          </mc:Fallback>
        </mc:AlternateContent>
      </w:r>
      <w:r>
        <w:rPr>
          <w:noProof/>
        </w:rPr>
        <w:drawing>
          <wp:inline distT="0" distB="0" distL="0" distR="0" wp14:anchorId="4E038335" wp14:editId="4EF090C7">
            <wp:extent cx="5943600" cy="3382010"/>
            <wp:effectExtent l="38100" t="38100" r="95250" b="1041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695C" w:rsidRDefault="00CC695C" w:rsidP="00E157B3">
      <w:pPr>
        <w:jc w:val="center"/>
      </w:pPr>
    </w:p>
    <w:p w:rsidR="001A60D3" w:rsidRDefault="001A60D3" w:rsidP="00E157B3">
      <w:pPr>
        <w:jc w:val="center"/>
      </w:pPr>
    </w:p>
    <w:p w:rsidR="001A60D3" w:rsidRDefault="009418A6" w:rsidP="00E157B3">
      <w:pPr>
        <w:jc w:val="center"/>
        <w:rPr>
          <w:b/>
          <w:sz w:val="28"/>
          <w:szCs w:val="28"/>
          <w:u w:val="single"/>
        </w:rPr>
      </w:pPr>
      <w:r>
        <w:rPr>
          <w:b/>
          <w:sz w:val="28"/>
          <w:szCs w:val="28"/>
          <w:u w:val="single"/>
        </w:rPr>
        <w:lastRenderedPageBreak/>
        <w:t>LAB DATA</w:t>
      </w:r>
    </w:p>
    <w:p w:rsidR="00320589" w:rsidRDefault="00320589" w:rsidP="00E157B3">
      <w:pPr>
        <w:jc w:val="center"/>
        <w:rPr>
          <w:b/>
          <w:sz w:val="28"/>
          <w:szCs w:val="28"/>
          <w:u w:val="single"/>
        </w:rPr>
      </w:pPr>
    </w:p>
    <w:tbl>
      <w:tblPr>
        <w:tblW w:w="9483" w:type="dxa"/>
        <w:tblInd w:w="93" w:type="dxa"/>
        <w:tblLook w:val="04A0" w:firstRow="1" w:lastRow="0" w:firstColumn="1" w:lastColumn="0" w:noHBand="0" w:noVBand="1"/>
      </w:tblPr>
      <w:tblGrid>
        <w:gridCol w:w="2762"/>
        <w:gridCol w:w="1253"/>
        <w:gridCol w:w="1055"/>
        <w:gridCol w:w="949"/>
        <w:gridCol w:w="838"/>
        <w:gridCol w:w="957"/>
        <w:gridCol w:w="838"/>
        <w:gridCol w:w="831"/>
      </w:tblGrid>
      <w:tr w:rsidR="009418A6" w:rsidRPr="009418A6" w:rsidTr="00320589">
        <w:trPr>
          <w:trHeight w:val="645"/>
        </w:trPr>
        <w:tc>
          <w:tcPr>
            <w:tcW w:w="9483" w:type="dxa"/>
            <w:gridSpan w:val="8"/>
            <w:tcBorders>
              <w:top w:val="single" w:sz="12" w:space="0" w:color="auto"/>
              <w:left w:val="single" w:sz="12" w:space="0" w:color="auto"/>
              <w:bottom w:val="single" w:sz="12" w:space="0" w:color="auto"/>
              <w:right w:val="single" w:sz="12" w:space="0" w:color="000000"/>
            </w:tcBorders>
            <w:shd w:val="clear" w:color="000000" w:fill="DDD9C4"/>
            <w:noWrap/>
            <w:vAlign w:val="center"/>
            <w:hideMark/>
          </w:tcPr>
          <w:p w:rsidR="009418A6" w:rsidRPr="009418A6" w:rsidRDefault="009418A6" w:rsidP="009418A6">
            <w:pPr>
              <w:spacing w:after="0" w:line="240" w:lineRule="auto"/>
              <w:jc w:val="center"/>
              <w:rPr>
                <w:rFonts w:ascii="Calibri" w:eastAsia="Times New Roman" w:hAnsi="Calibri" w:cs="Times New Roman"/>
                <w:b/>
                <w:bCs/>
                <w:i/>
                <w:iCs/>
                <w:color w:val="000000"/>
                <w:sz w:val="28"/>
                <w:szCs w:val="28"/>
                <w:u w:val="single"/>
              </w:rPr>
            </w:pPr>
            <w:r w:rsidRPr="009418A6">
              <w:rPr>
                <w:rFonts w:ascii="Calibri" w:eastAsia="Times New Roman" w:hAnsi="Calibri" w:cs="Times New Roman"/>
                <w:b/>
                <w:bCs/>
                <w:i/>
                <w:iCs/>
                <w:color w:val="000000"/>
                <w:sz w:val="28"/>
                <w:szCs w:val="28"/>
                <w:u w:val="single"/>
              </w:rPr>
              <w:t>LAB TURN AROUND SUMMARY REPORT</w:t>
            </w:r>
          </w:p>
        </w:tc>
      </w:tr>
      <w:tr w:rsidR="009418A6" w:rsidRPr="009418A6" w:rsidTr="00320589">
        <w:trPr>
          <w:trHeight w:val="1515"/>
        </w:trPr>
        <w:tc>
          <w:tcPr>
            <w:tcW w:w="2764" w:type="dxa"/>
            <w:tcBorders>
              <w:top w:val="nil"/>
              <w:left w:val="single" w:sz="4" w:space="0" w:color="000000"/>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Averages</w:t>
            </w:r>
          </w:p>
        </w:tc>
        <w:tc>
          <w:tcPr>
            <w:tcW w:w="1253" w:type="dxa"/>
            <w:tcBorders>
              <w:top w:val="nil"/>
              <w:left w:val="nil"/>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Number of Samples</w:t>
            </w:r>
          </w:p>
        </w:tc>
        <w:tc>
          <w:tcPr>
            <w:tcW w:w="1055" w:type="dxa"/>
            <w:tcBorders>
              <w:top w:val="nil"/>
              <w:left w:val="nil"/>
              <w:bottom w:val="single" w:sz="4" w:space="0" w:color="000000"/>
              <w:right w:val="single" w:sz="4" w:space="0" w:color="000000"/>
            </w:tcBorders>
            <w:shd w:val="clear" w:color="000000" w:fill="BFBFBF"/>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Sample Date to time to lab (Days)</w:t>
            </w:r>
          </w:p>
        </w:tc>
        <w:tc>
          <w:tcPr>
            <w:tcW w:w="949" w:type="dxa"/>
            <w:tcBorders>
              <w:top w:val="nil"/>
              <w:left w:val="nil"/>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Days for Results after Lab Rec'd</w:t>
            </w:r>
          </w:p>
        </w:tc>
        <w:tc>
          <w:tcPr>
            <w:tcW w:w="838" w:type="dxa"/>
            <w:tcBorders>
              <w:top w:val="nil"/>
              <w:left w:val="nil"/>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Days from sent to results</w:t>
            </w:r>
          </w:p>
        </w:tc>
        <w:tc>
          <w:tcPr>
            <w:tcW w:w="957" w:type="dxa"/>
            <w:tcBorders>
              <w:top w:val="nil"/>
              <w:left w:val="nil"/>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Total Days (Sample to Result)</w:t>
            </w:r>
          </w:p>
        </w:tc>
        <w:tc>
          <w:tcPr>
            <w:tcW w:w="837" w:type="dxa"/>
            <w:tcBorders>
              <w:top w:val="nil"/>
              <w:left w:val="nil"/>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Letters Sent (Days)</w:t>
            </w:r>
          </w:p>
        </w:tc>
        <w:tc>
          <w:tcPr>
            <w:tcW w:w="830" w:type="dxa"/>
            <w:tcBorders>
              <w:top w:val="nil"/>
              <w:left w:val="nil"/>
              <w:bottom w:val="single" w:sz="4" w:space="0" w:color="000000"/>
              <w:right w:val="single" w:sz="4" w:space="0" w:color="000000"/>
            </w:tcBorders>
            <w:shd w:val="clear" w:color="000000" w:fill="BFBFBF"/>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Posted (Days)</w:t>
            </w:r>
          </w:p>
        </w:tc>
      </w:tr>
      <w:tr w:rsidR="00320589" w:rsidRPr="009418A6" w:rsidTr="00320589">
        <w:trPr>
          <w:trHeight w:val="315"/>
        </w:trPr>
        <w:tc>
          <w:tcPr>
            <w:tcW w:w="2764" w:type="dxa"/>
            <w:tcBorders>
              <w:top w:val="nil"/>
              <w:left w:val="single" w:sz="4" w:space="0" w:color="000000"/>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Overall Average (All)</w:t>
            </w:r>
          </w:p>
        </w:tc>
        <w:tc>
          <w:tcPr>
            <w:tcW w:w="1253"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 </w:t>
            </w:r>
          </w:p>
        </w:tc>
        <w:tc>
          <w:tcPr>
            <w:tcW w:w="1055"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3.20</w:t>
            </w:r>
          </w:p>
        </w:tc>
        <w:tc>
          <w:tcPr>
            <w:tcW w:w="949"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13.01</w:t>
            </w:r>
          </w:p>
        </w:tc>
        <w:tc>
          <w:tcPr>
            <w:tcW w:w="838"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15.89</w:t>
            </w:r>
          </w:p>
        </w:tc>
        <w:tc>
          <w:tcPr>
            <w:tcW w:w="957"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18.09</w:t>
            </w:r>
          </w:p>
        </w:tc>
        <w:tc>
          <w:tcPr>
            <w:tcW w:w="837"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c>
          <w:tcPr>
            <w:tcW w:w="830"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r>
      <w:tr w:rsidR="00320589" w:rsidRPr="009418A6" w:rsidTr="00320589">
        <w:trPr>
          <w:trHeight w:val="315"/>
        </w:trPr>
        <w:tc>
          <w:tcPr>
            <w:tcW w:w="2764" w:type="dxa"/>
            <w:tcBorders>
              <w:top w:val="nil"/>
              <w:left w:val="single" w:sz="4" w:space="0" w:color="000000"/>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(HP) High Priority Average (All)</w:t>
            </w:r>
          </w:p>
        </w:tc>
        <w:tc>
          <w:tcPr>
            <w:tcW w:w="1253"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 </w:t>
            </w:r>
          </w:p>
        </w:tc>
        <w:tc>
          <w:tcPr>
            <w:tcW w:w="1055"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3.19</w:t>
            </w:r>
          </w:p>
        </w:tc>
        <w:tc>
          <w:tcPr>
            <w:tcW w:w="949"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13.00</w:t>
            </w:r>
          </w:p>
        </w:tc>
        <w:tc>
          <w:tcPr>
            <w:tcW w:w="838"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15.89</w:t>
            </w:r>
          </w:p>
        </w:tc>
        <w:tc>
          <w:tcPr>
            <w:tcW w:w="957"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18.08</w:t>
            </w:r>
          </w:p>
        </w:tc>
        <w:tc>
          <w:tcPr>
            <w:tcW w:w="837"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c>
          <w:tcPr>
            <w:tcW w:w="830"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r>
      <w:tr w:rsidR="00320589" w:rsidRPr="009418A6" w:rsidTr="00320589">
        <w:trPr>
          <w:trHeight w:val="315"/>
        </w:trPr>
        <w:tc>
          <w:tcPr>
            <w:tcW w:w="4017" w:type="dxa"/>
            <w:gridSpan w:val="2"/>
            <w:tcBorders>
              <w:top w:val="single" w:sz="4" w:space="0" w:color="000000"/>
              <w:left w:val="single" w:sz="4" w:space="0" w:color="000000"/>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(LP) Low Priority Average (All)</w:t>
            </w:r>
          </w:p>
        </w:tc>
        <w:tc>
          <w:tcPr>
            <w:tcW w:w="1055" w:type="dxa"/>
            <w:tcBorders>
              <w:top w:val="nil"/>
              <w:left w:val="nil"/>
              <w:bottom w:val="single" w:sz="4" w:space="0" w:color="000000"/>
              <w:right w:val="single" w:sz="4" w:space="0" w:color="000000"/>
            </w:tcBorders>
            <w:shd w:val="clear" w:color="000000" w:fill="C5D9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3.15</w:t>
            </w:r>
          </w:p>
        </w:tc>
        <w:tc>
          <w:tcPr>
            <w:tcW w:w="949"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16.91</w:t>
            </w:r>
          </w:p>
        </w:tc>
        <w:tc>
          <w:tcPr>
            <w:tcW w:w="838"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19.22</w:t>
            </w:r>
          </w:p>
        </w:tc>
        <w:tc>
          <w:tcPr>
            <w:tcW w:w="957"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21.38</w:t>
            </w:r>
          </w:p>
        </w:tc>
        <w:tc>
          <w:tcPr>
            <w:tcW w:w="837"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c>
          <w:tcPr>
            <w:tcW w:w="830" w:type="dxa"/>
            <w:tcBorders>
              <w:top w:val="nil"/>
              <w:left w:val="nil"/>
              <w:bottom w:val="single" w:sz="4" w:space="0" w:color="000000"/>
              <w:right w:val="single" w:sz="4" w:space="0" w:color="000000"/>
            </w:tcBorders>
            <w:shd w:val="clear" w:color="000000" w:fill="C5D9F1"/>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r>
      <w:tr w:rsidR="009418A6" w:rsidRPr="009418A6" w:rsidTr="00320589">
        <w:trPr>
          <w:trHeight w:val="300"/>
        </w:trPr>
        <w:tc>
          <w:tcPr>
            <w:tcW w:w="9483" w:type="dxa"/>
            <w:gridSpan w:val="8"/>
            <w:tcBorders>
              <w:top w:val="single" w:sz="4" w:space="0" w:color="000000"/>
              <w:left w:val="nil"/>
              <w:bottom w:val="single" w:sz="4" w:space="0" w:color="auto"/>
              <w:right w:val="nil"/>
            </w:tcBorders>
            <w:shd w:val="clear" w:color="000000" w:fill="DDD9C4"/>
            <w:noWrap/>
            <w:vAlign w:val="bottom"/>
            <w:hideMark/>
          </w:tcPr>
          <w:p w:rsidR="009418A6" w:rsidRPr="009418A6" w:rsidRDefault="009418A6" w:rsidP="009418A6">
            <w:pPr>
              <w:spacing w:after="0" w:line="240" w:lineRule="auto"/>
              <w:jc w:val="center"/>
              <w:rPr>
                <w:rFonts w:ascii="Calibri" w:eastAsia="Times New Roman" w:hAnsi="Calibri" w:cs="Times New Roman"/>
                <w:b/>
                <w:bCs/>
                <w:i/>
                <w:iCs/>
                <w:color w:val="000000"/>
                <w:u w:val="double"/>
              </w:rPr>
            </w:pPr>
            <w:r w:rsidRPr="009418A6">
              <w:rPr>
                <w:rFonts w:ascii="Calibri" w:eastAsia="Times New Roman" w:hAnsi="Calibri" w:cs="Times New Roman"/>
                <w:b/>
                <w:bCs/>
                <w:i/>
                <w:iCs/>
                <w:color w:val="000000"/>
                <w:u w:val="double"/>
              </w:rPr>
              <w:t>INDIVIDUAL LAB TURN AROUND DATA</w:t>
            </w:r>
          </w:p>
        </w:tc>
      </w:tr>
      <w:tr w:rsidR="00320589" w:rsidRPr="009418A6" w:rsidTr="00320589">
        <w:trPr>
          <w:trHeight w:val="315"/>
        </w:trPr>
        <w:tc>
          <w:tcPr>
            <w:tcW w:w="2764" w:type="dxa"/>
            <w:tcBorders>
              <w:top w:val="nil"/>
              <w:left w:val="single" w:sz="4" w:space="0" w:color="auto"/>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UMO HP</w:t>
            </w:r>
          </w:p>
        </w:tc>
        <w:tc>
          <w:tcPr>
            <w:tcW w:w="1253"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71</w:t>
            </w:r>
          </w:p>
        </w:tc>
        <w:tc>
          <w:tcPr>
            <w:tcW w:w="1055" w:type="dxa"/>
            <w:tcBorders>
              <w:top w:val="nil"/>
              <w:left w:val="nil"/>
              <w:bottom w:val="single" w:sz="4" w:space="0" w:color="auto"/>
              <w:right w:val="single" w:sz="4" w:space="0" w:color="auto"/>
            </w:tcBorders>
            <w:shd w:val="clear" w:color="000000" w:fill="D8E4BC"/>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3.34</w:t>
            </w:r>
          </w:p>
        </w:tc>
        <w:tc>
          <w:tcPr>
            <w:tcW w:w="949"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16.94</w:t>
            </w:r>
          </w:p>
        </w:tc>
        <w:tc>
          <w:tcPr>
            <w:tcW w:w="838"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17.61</w:t>
            </w:r>
          </w:p>
        </w:tc>
        <w:tc>
          <w:tcPr>
            <w:tcW w:w="95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19.94</w:t>
            </w:r>
          </w:p>
        </w:tc>
        <w:tc>
          <w:tcPr>
            <w:tcW w:w="83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c>
          <w:tcPr>
            <w:tcW w:w="830"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r>
      <w:tr w:rsidR="00320589" w:rsidRPr="009418A6" w:rsidTr="00320589">
        <w:trPr>
          <w:trHeight w:val="315"/>
        </w:trPr>
        <w:tc>
          <w:tcPr>
            <w:tcW w:w="2764" w:type="dxa"/>
            <w:tcBorders>
              <w:top w:val="nil"/>
              <w:left w:val="single" w:sz="4" w:space="0" w:color="auto"/>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UMO LP</w:t>
            </w:r>
          </w:p>
        </w:tc>
        <w:tc>
          <w:tcPr>
            <w:tcW w:w="1253"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33</w:t>
            </w:r>
          </w:p>
        </w:tc>
        <w:tc>
          <w:tcPr>
            <w:tcW w:w="1055" w:type="dxa"/>
            <w:tcBorders>
              <w:top w:val="nil"/>
              <w:left w:val="nil"/>
              <w:bottom w:val="single" w:sz="4" w:space="0" w:color="auto"/>
              <w:right w:val="single" w:sz="4" w:space="0" w:color="auto"/>
            </w:tcBorders>
            <w:shd w:val="clear" w:color="000000" w:fill="D8E4BC"/>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2.79</w:t>
            </w:r>
          </w:p>
        </w:tc>
        <w:tc>
          <w:tcPr>
            <w:tcW w:w="949"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22.91</w:t>
            </w:r>
          </w:p>
        </w:tc>
        <w:tc>
          <w:tcPr>
            <w:tcW w:w="838"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26.36</w:t>
            </w:r>
          </w:p>
        </w:tc>
        <w:tc>
          <w:tcPr>
            <w:tcW w:w="95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28.15</w:t>
            </w:r>
          </w:p>
        </w:tc>
        <w:tc>
          <w:tcPr>
            <w:tcW w:w="83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c>
          <w:tcPr>
            <w:tcW w:w="830"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r>
      <w:tr w:rsidR="00320589" w:rsidRPr="009418A6" w:rsidTr="00320589">
        <w:trPr>
          <w:trHeight w:val="315"/>
        </w:trPr>
        <w:tc>
          <w:tcPr>
            <w:tcW w:w="2764" w:type="dxa"/>
            <w:tcBorders>
              <w:top w:val="nil"/>
              <w:left w:val="single" w:sz="4" w:space="0" w:color="auto"/>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Total</w:t>
            </w:r>
          </w:p>
        </w:tc>
        <w:tc>
          <w:tcPr>
            <w:tcW w:w="1253"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104</w:t>
            </w:r>
          </w:p>
        </w:tc>
        <w:tc>
          <w:tcPr>
            <w:tcW w:w="1055" w:type="dxa"/>
            <w:tcBorders>
              <w:top w:val="nil"/>
              <w:left w:val="nil"/>
              <w:bottom w:val="single" w:sz="4" w:space="0" w:color="auto"/>
              <w:right w:val="single" w:sz="4" w:space="0" w:color="auto"/>
            </w:tcBorders>
            <w:shd w:val="clear" w:color="000000" w:fill="D8E4BC"/>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 </w:t>
            </w:r>
          </w:p>
        </w:tc>
        <w:tc>
          <w:tcPr>
            <w:tcW w:w="949"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838"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95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83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r>
      <w:tr w:rsidR="00320589" w:rsidRPr="009418A6" w:rsidTr="00320589">
        <w:trPr>
          <w:trHeight w:val="315"/>
        </w:trPr>
        <w:tc>
          <w:tcPr>
            <w:tcW w:w="2764" w:type="dxa"/>
            <w:tcBorders>
              <w:top w:val="nil"/>
              <w:left w:val="single" w:sz="4" w:space="0" w:color="auto"/>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 </w:t>
            </w:r>
          </w:p>
        </w:tc>
        <w:tc>
          <w:tcPr>
            <w:tcW w:w="1253"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 </w:t>
            </w:r>
          </w:p>
        </w:tc>
        <w:tc>
          <w:tcPr>
            <w:tcW w:w="1055" w:type="dxa"/>
            <w:tcBorders>
              <w:top w:val="nil"/>
              <w:left w:val="nil"/>
              <w:bottom w:val="single" w:sz="4" w:space="0" w:color="auto"/>
              <w:right w:val="single" w:sz="4" w:space="0" w:color="auto"/>
            </w:tcBorders>
            <w:shd w:val="clear" w:color="000000" w:fill="D8E4BC"/>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 </w:t>
            </w:r>
          </w:p>
        </w:tc>
        <w:tc>
          <w:tcPr>
            <w:tcW w:w="949"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838"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95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83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c>
          <w:tcPr>
            <w:tcW w:w="830"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 </w:t>
            </w:r>
          </w:p>
        </w:tc>
      </w:tr>
      <w:tr w:rsidR="00320589" w:rsidRPr="009418A6" w:rsidTr="00320589">
        <w:trPr>
          <w:trHeight w:val="315"/>
        </w:trPr>
        <w:tc>
          <w:tcPr>
            <w:tcW w:w="2764" w:type="dxa"/>
            <w:tcBorders>
              <w:top w:val="nil"/>
              <w:left w:val="single" w:sz="4" w:space="0" w:color="auto"/>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Spectrum HP</w:t>
            </w:r>
          </w:p>
        </w:tc>
        <w:tc>
          <w:tcPr>
            <w:tcW w:w="1253"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60</w:t>
            </w:r>
          </w:p>
        </w:tc>
        <w:tc>
          <w:tcPr>
            <w:tcW w:w="1055" w:type="dxa"/>
            <w:tcBorders>
              <w:top w:val="nil"/>
              <w:left w:val="nil"/>
              <w:bottom w:val="single" w:sz="4" w:space="0" w:color="auto"/>
              <w:right w:val="single" w:sz="4" w:space="0" w:color="auto"/>
            </w:tcBorders>
            <w:shd w:val="clear" w:color="000000" w:fill="D8E4BC"/>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3.25</w:t>
            </w:r>
          </w:p>
        </w:tc>
        <w:tc>
          <w:tcPr>
            <w:tcW w:w="949"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2.90</w:t>
            </w:r>
          </w:p>
        </w:tc>
        <w:tc>
          <w:tcPr>
            <w:tcW w:w="838"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8.10</w:t>
            </w:r>
          </w:p>
        </w:tc>
        <w:tc>
          <w:tcPr>
            <w:tcW w:w="95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10.35</w:t>
            </w:r>
          </w:p>
        </w:tc>
        <w:tc>
          <w:tcPr>
            <w:tcW w:w="837"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c>
          <w:tcPr>
            <w:tcW w:w="830" w:type="dxa"/>
            <w:tcBorders>
              <w:top w:val="nil"/>
              <w:left w:val="nil"/>
              <w:bottom w:val="single" w:sz="4" w:space="0" w:color="auto"/>
              <w:right w:val="single" w:sz="4" w:space="0" w:color="auto"/>
            </w:tcBorders>
            <w:shd w:val="clear" w:color="000000" w:fill="D8E4BC"/>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r w:rsidRPr="009418A6">
              <w:rPr>
                <w:rFonts w:ascii="Calibri" w:eastAsia="Times New Roman" w:hAnsi="Calibri" w:cs="Times New Roman"/>
                <w:color w:val="000000"/>
                <w:sz w:val="24"/>
                <w:szCs w:val="24"/>
              </w:rPr>
              <w:t>1</w:t>
            </w:r>
          </w:p>
        </w:tc>
      </w:tr>
      <w:tr w:rsidR="009418A6" w:rsidRPr="009418A6" w:rsidTr="00320589">
        <w:trPr>
          <w:trHeight w:val="315"/>
        </w:trPr>
        <w:tc>
          <w:tcPr>
            <w:tcW w:w="2764" w:type="dxa"/>
            <w:tcBorders>
              <w:top w:val="nil"/>
              <w:left w:val="nil"/>
              <w:bottom w:val="nil"/>
              <w:right w:val="nil"/>
            </w:tcBorders>
            <w:shd w:val="clear" w:color="000000" w:fill="FDE9D9"/>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 </w:t>
            </w:r>
          </w:p>
        </w:tc>
        <w:tc>
          <w:tcPr>
            <w:tcW w:w="1253" w:type="dxa"/>
            <w:tcBorders>
              <w:top w:val="nil"/>
              <w:left w:val="nil"/>
              <w:bottom w:val="nil"/>
              <w:right w:val="nil"/>
            </w:tcBorders>
            <w:shd w:val="clear" w:color="000000" w:fill="FDE9D9"/>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 </w:t>
            </w:r>
          </w:p>
        </w:tc>
        <w:tc>
          <w:tcPr>
            <w:tcW w:w="1055" w:type="dxa"/>
            <w:tcBorders>
              <w:top w:val="nil"/>
              <w:left w:val="nil"/>
              <w:bottom w:val="nil"/>
              <w:right w:val="nil"/>
            </w:tcBorders>
            <w:shd w:val="clear" w:color="auto" w:fill="auto"/>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sz w:val="24"/>
                <w:szCs w:val="24"/>
              </w:rPr>
            </w:pPr>
          </w:p>
        </w:tc>
        <w:tc>
          <w:tcPr>
            <w:tcW w:w="949"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p>
        </w:tc>
        <w:tc>
          <w:tcPr>
            <w:tcW w:w="838"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p>
        </w:tc>
        <w:tc>
          <w:tcPr>
            <w:tcW w:w="957"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p>
        </w:tc>
        <w:tc>
          <w:tcPr>
            <w:tcW w:w="837"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p>
        </w:tc>
        <w:tc>
          <w:tcPr>
            <w:tcW w:w="830"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p>
        </w:tc>
      </w:tr>
      <w:tr w:rsidR="009418A6" w:rsidRPr="009418A6" w:rsidTr="00320589">
        <w:trPr>
          <w:trHeight w:val="300"/>
        </w:trPr>
        <w:tc>
          <w:tcPr>
            <w:tcW w:w="2764" w:type="dxa"/>
            <w:tcBorders>
              <w:top w:val="single" w:sz="4" w:space="0" w:color="auto"/>
              <w:left w:val="single" w:sz="4" w:space="0" w:color="auto"/>
              <w:bottom w:val="nil"/>
              <w:right w:val="single" w:sz="4" w:space="0" w:color="auto"/>
            </w:tcBorders>
            <w:shd w:val="clear" w:color="000000" w:fill="FDE9D9"/>
            <w:noWrap/>
            <w:vAlign w:val="bottom"/>
            <w:hideMark/>
          </w:tcPr>
          <w:p w:rsidR="009418A6" w:rsidRPr="009418A6" w:rsidRDefault="009418A6" w:rsidP="009418A6">
            <w:pPr>
              <w:spacing w:after="0" w:line="240" w:lineRule="auto"/>
              <w:rPr>
                <w:rFonts w:ascii="Calibri" w:eastAsia="Times New Roman" w:hAnsi="Calibri" w:cs="Times New Roman"/>
                <w:color w:val="000000"/>
              </w:rPr>
            </w:pPr>
            <w:r w:rsidRPr="009418A6">
              <w:rPr>
                <w:rFonts w:ascii="Calibri" w:eastAsia="Times New Roman" w:hAnsi="Calibri" w:cs="Times New Roman"/>
                <w:color w:val="000000"/>
              </w:rPr>
              <w:t>Total Samples</w:t>
            </w:r>
          </w:p>
        </w:tc>
        <w:tc>
          <w:tcPr>
            <w:tcW w:w="1253" w:type="dxa"/>
            <w:tcBorders>
              <w:top w:val="single" w:sz="4" w:space="0" w:color="auto"/>
              <w:left w:val="nil"/>
              <w:bottom w:val="nil"/>
              <w:right w:val="single" w:sz="4" w:space="0" w:color="auto"/>
            </w:tcBorders>
            <w:shd w:val="clear" w:color="000000" w:fill="FDE9D9"/>
            <w:noWrap/>
            <w:vAlign w:val="bottom"/>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164</w:t>
            </w:r>
          </w:p>
        </w:tc>
        <w:tc>
          <w:tcPr>
            <w:tcW w:w="1055"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rPr>
                <w:rFonts w:ascii="Calibri" w:eastAsia="Times New Roman" w:hAnsi="Calibri" w:cs="Times New Roman"/>
                <w:color w:val="000000"/>
              </w:rPr>
            </w:pPr>
          </w:p>
        </w:tc>
        <w:tc>
          <w:tcPr>
            <w:tcW w:w="949"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rPr>
                <w:rFonts w:ascii="Calibri" w:eastAsia="Times New Roman" w:hAnsi="Calibri" w:cs="Times New Roman"/>
                <w:color w:val="000000"/>
              </w:rPr>
            </w:pPr>
          </w:p>
        </w:tc>
        <w:tc>
          <w:tcPr>
            <w:tcW w:w="838"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rPr>
                <w:rFonts w:ascii="Calibri" w:eastAsia="Times New Roman" w:hAnsi="Calibri" w:cs="Times New Roman"/>
                <w:color w:val="000000"/>
              </w:rPr>
            </w:pPr>
          </w:p>
        </w:tc>
        <w:tc>
          <w:tcPr>
            <w:tcW w:w="957"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rPr>
                <w:rFonts w:ascii="Calibri" w:eastAsia="Times New Roman" w:hAnsi="Calibri" w:cs="Times New Roman"/>
                <w:color w:val="000000"/>
              </w:rPr>
            </w:pPr>
          </w:p>
        </w:tc>
        <w:tc>
          <w:tcPr>
            <w:tcW w:w="837"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rPr>
                <w:rFonts w:ascii="Calibri" w:eastAsia="Times New Roman" w:hAnsi="Calibri" w:cs="Times New Roman"/>
                <w:color w:val="000000"/>
              </w:rPr>
            </w:pPr>
          </w:p>
        </w:tc>
        <w:tc>
          <w:tcPr>
            <w:tcW w:w="830" w:type="dxa"/>
            <w:tcBorders>
              <w:top w:val="nil"/>
              <w:left w:val="nil"/>
              <w:bottom w:val="nil"/>
              <w:right w:val="nil"/>
            </w:tcBorders>
            <w:shd w:val="clear" w:color="auto" w:fill="auto"/>
            <w:noWrap/>
            <w:vAlign w:val="bottom"/>
            <w:hideMark/>
          </w:tcPr>
          <w:p w:rsidR="009418A6" w:rsidRPr="009418A6" w:rsidRDefault="009418A6" w:rsidP="009418A6">
            <w:pPr>
              <w:spacing w:after="0" w:line="240" w:lineRule="auto"/>
              <w:rPr>
                <w:rFonts w:ascii="Calibri" w:eastAsia="Times New Roman" w:hAnsi="Calibri" w:cs="Times New Roman"/>
                <w:color w:val="000000"/>
              </w:rPr>
            </w:pPr>
          </w:p>
        </w:tc>
      </w:tr>
      <w:tr w:rsidR="009418A6" w:rsidRPr="009418A6" w:rsidTr="00320589">
        <w:trPr>
          <w:trHeight w:val="300"/>
        </w:trPr>
        <w:tc>
          <w:tcPr>
            <w:tcW w:w="9483" w:type="dxa"/>
            <w:gridSpan w:val="8"/>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9418A6" w:rsidRPr="009418A6" w:rsidRDefault="009418A6" w:rsidP="009418A6">
            <w:pPr>
              <w:spacing w:after="0" w:line="240" w:lineRule="auto"/>
              <w:jc w:val="center"/>
              <w:rPr>
                <w:rFonts w:ascii="Calibri" w:eastAsia="Times New Roman" w:hAnsi="Calibri" w:cs="Times New Roman"/>
                <w:b/>
                <w:bCs/>
                <w:i/>
                <w:iCs/>
                <w:color w:val="000000"/>
                <w:u w:val="double"/>
              </w:rPr>
            </w:pPr>
            <w:r w:rsidRPr="009418A6">
              <w:rPr>
                <w:rFonts w:ascii="Calibri" w:eastAsia="Times New Roman" w:hAnsi="Calibri" w:cs="Times New Roman"/>
                <w:b/>
                <w:bCs/>
                <w:i/>
                <w:iCs/>
                <w:color w:val="000000"/>
                <w:u w:val="double"/>
              </w:rPr>
              <w:t>REFEREE LAB TURN AROUND DATA</w:t>
            </w:r>
          </w:p>
        </w:tc>
      </w:tr>
      <w:tr w:rsidR="00320589" w:rsidRPr="009418A6" w:rsidTr="00320589">
        <w:trPr>
          <w:trHeight w:val="300"/>
        </w:trPr>
        <w:tc>
          <w:tcPr>
            <w:tcW w:w="2764" w:type="dxa"/>
            <w:tcBorders>
              <w:top w:val="nil"/>
              <w:left w:val="single" w:sz="4" w:space="0" w:color="auto"/>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Thornton</w:t>
            </w:r>
          </w:p>
        </w:tc>
        <w:tc>
          <w:tcPr>
            <w:tcW w:w="1253"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15</w:t>
            </w:r>
          </w:p>
        </w:tc>
        <w:tc>
          <w:tcPr>
            <w:tcW w:w="1055"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NA</w:t>
            </w:r>
          </w:p>
        </w:tc>
        <w:tc>
          <w:tcPr>
            <w:tcW w:w="949"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6.47</w:t>
            </w:r>
          </w:p>
        </w:tc>
        <w:tc>
          <w:tcPr>
            <w:tcW w:w="838"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8.47</w:t>
            </w:r>
          </w:p>
        </w:tc>
        <w:tc>
          <w:tcPr>
            <w:tcW w:w="957"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NA</w:t>
            </w:r>
          </w:p>
        </w:tc>
        <w:tc>
          <w:tcPr>
            <w:tcW w:w="837"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NA</w:t>
            </w:r>
          </w:p>
        </w:tc>
        <w:tc>
          <w:tcPr>
            <w:tcW w:w="830" w:type="dxa"/>
            <w:tcBorders>
              <w:top w:val="nil"/>
              <w:left w:val="nil"/>
              <w:bottom w:val="single" w:sz="4" w:space="0" w:color="auto"/>
              <w:right w:val="single" w:sz="4" w:space="0" w:color="auto"/>
            </w:tcBorders>
            <w:shd w:val="clear" w:color="000000" w:fill="DCE6F1"/>
            <w:noWrap/>
            <w:vAlign w:val="center"/>
            <w:hideMark/>
          </w:tcPr>
          <w:p w:rsidR="009418A6" w:rsidRPr="009418A6" w:rsidRDefault="009418A6" w:rsidP="009418A6">
            <w:pPr>
              <w:spacing w:after="0" w:line="240" w:lineRule="auto"/>
              <w:jc w:val="center"/>
              <w:rPr>
                <w:rFonts w:ascii="Calibri" w:eastAsia="Times New Roman" w:hAnsi="Calibri" w:cs="Times New Roman"/>
                <w:color w:val="000000"/>
              </w:rPr>
            </w:pPr>
            <w:r w:rsidRPr="009418A6">
              <w:rPr>
                <w:rFonts w:ascii="Calibri" w:eastAsia="Times New Roman" w:hAnsi="Calibri" w:cs="Times New Roman"/>
                <w:color w:val="000000"/>
              </w:rPr>
              <w:t>NA</w:t>
            </w:r>
          </w:p>
        </w:tc>
      </w:tr>
    </w:tbl>
    <w:p w:rsidR="009418A6" w:rsidRDefault="009418A6" w:rsidP="00E157B3">
      <w:pPr>
        <w:jc w:val="center"/>
        <w:rPr>
          <w:b/>
          <w:u w:val="single"/>
        </w:rPr>
      </w:pPr>
    </w:p>
    <w:p w:rsidR="009418A6" w:rsidRPr="009418A6" w:rsidRDefault="009418A6" w:rsidP="00E157B3">
      <w:pPr>
        <w:jc w:val="center"/>
        <w:rPr>
          <w:b/>
          <w:u w:val="single"/>
        </w:rPr>
      </w:pPr>
      <w:r>
        <w:rPr>
          <w:b/>
          <w:noProof/>
          <w:u w:val="single"/>
        </w:rPr>
        <w:lastRenderedPageBreak/>
        <w:drawing>
          <wp:inline distT="0" distB="0" distL="0" distR="0">
            <wp:extent cx="5943600" cy="4457398"/>
            <wp:effectExtent l="0" t="0" r="0" b="635"/>
            <wp:docPr id="14" name="Picture 14" descr="C:\Users\michael.crush\Pictures\2016-06-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crush\Pictures\2016-06-01\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398"/>
                    </a:xfrm>
                    <a:prstGeom prst="rect">
                      <a:avLst/>
                    </a:prstGeom>
                    <a:noFill/>
                    <a:ln>
                      <a:noFill/>
                    </a:ln>
                  </pic:spPr>
                </pic:pic>
              </a:graphicData>
            </a:graphic>
          </wp:inline>
        </w:drawing>
      </w:r>
    </w:p>
    <w:p w:rsidR="001A60D3" w:rsidRDefault="001A60D3" w:rsidP="00E157B3">
      <w:pPr>
        <w:jc w:val="center"/>
      </w:pPr>
    </w:p>
    <w:p w:rsidR="004E6626" w:rsidRDefault="004E6626" w:rsidP="00E157B3">
      <w:pPr>
        <w:jc w:val="center"/>
      </w:pPr>
    </w:p>
    <w:p w:rsidR="001A60D3" w:rsidRDefault="001A60D3" w:rsidP="00E157B3">
      <w:pPr>
        <w:jc w:val="center"/>
      </w:pPr>
    </w:p>
    <w:sectPr w:rsidR="001A60D3" w:rsidSect="00A61B10">
      <w:headerReference w:type="default" r:id="rId22"/>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3F0" w:rsidRDefault="000853F0" w:rsidP="00677FB7">
      <w:pPr>
        <w:spacing w:after="0" w:line="240" w:lineRule="auto"/>
      </w:pPr>
      <w:r>
        <w:separator/>
      </w:r>
    </w:p>
  </w:endnote>
  <w:endnote w:type="continuationSeparator" w:id="0">
    <w:p w:rsidR="000853F0" w:rsidRDefault="000853F0" w:rsidP="00677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040826"/>
      <w:docPartObj>
        <w:docPartGallery w:val="Page Numbers (Bottom of Page)"/>
        <w:docPartUnique/>
      </w:docPartObj>
    </w:sdtPr>
    <w:sdtEndPr/>
    <w:sdtContent>
      <w:sdt>
        <w:sdtPr>
          <w:id w:val="-1669238322"/>
          <w:docPartObj>
            <w:docPartGallery w:val="Page Numbers (Top of Page)"/>
            <w:docPartUnique/>
          </w:docPartObj>
        </w:sdtPr>
        <w:sdtEndPr/>
        <w:sdtContent>
          <w:p w:rsidR="00677FB7" w:rsidRDefault="00677FB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C6C7A">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C6C7A">
              <w:rPr>
                <w:b/>
                <w:bCs/>
                <w:noProof/>
              </w:rPr>
              <w:t>10</w:t>
            </w:r>
            <w:r>
              <w:rPr>
                <w:b/>
                <w:bCs/>
                <w:sz w:val="24"/>
                <w:szCs w:val="24"/>
              </w:rPr>
              <w:fldChar w:fldCharType="end"/>
            </w:r>
          </w:p>
        </w:sdtContent>
      </w:sdt>
    </w:sdtContent>
  </w:sdt>
  <w:p w:rsidR="00677FB7" w:rsidRDefault="00677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3F0" w:rsidRDefault="000853F0" w:rsidP="00677FB7">
      <w:pPr>
        <w:spacing w:after="0" w:line="240" w:lineRule="auto"/>
      </w:pPr>
      <w:r>
        <w:separator/>
      </w:r>
    </w:p>
  </w:footnote>
  <w:footnote w:type="continuationSeparator" w:id="0">
    <w:p w:rsidR="000853F0" w:rsidRDefault="000853F0" w:rsidP="00677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195"/>
    </w:tblGrid>
    <w:tr w:rsidR="00677FB7">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677FB7" w:rsidRDefault="00677FB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FERTILIZER PROGRAM SUMMARY REPORT</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tc>
            <w:tcPr>
              <w:tcW w:w="1105" w:type="dxa"/>
            </w:tcPr>
            <w:p w:rsidR="00677FB7" w:rsidRDefault="00677FB7">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2016</w:t>
              </w:r>
            </w:p>
          </w:tc>
        </w:sdtContent>
      </w:sdt>
    </w:tr>
  </w:tbl>
  <w:p w:rsidR="00677FB7" w:rsidRDefault="00677F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ocumentProtection w:edit="readOnly" w:enforcement="1" w:cryptProviderType="rsaFull" w:cryptAlgorithmClass="hash" w:cryptAlgorithmType="typeAny" w:cryptAlgorithmSid="4" w:cryptSpinCount="100000" w:hash="r2KP98lnLeQ4racm9HHoidoQ4CY=" w:salt="O2TVyqywzCt8bx0Fn7Oq7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B10"/>
    <w:rsid w:val="00025108"/>
    <w:rsid w:val="0002620A"/>
    <w:rsid w:val="00065112"/>
    <w:rsid w:val="00080509"/>
    <w:rsid w:val="000853F0"/>
    <w:rsid w:val="000A0578"/>
    <w:rsid w:val="000C2B25"/>
    <w:rsid w:val="000C5453"/>
    <w:rsid w:val="000E3B7D"/>
    <w:rsid w:val="001366E6"/>
    <w:rsid w:val="001422C4"/>
    <w:rsid w:val="00151D66"/>
    <w:rsid w:val="00175EFF"/>
    <w:rsid w:val="001765DD"/>
    <w:rsid w:val="00186A5E"/>
    <w:rsid w:val="001A2573"/>
    <w:rsid w:val="001A60D3"/>
    <w:rsid w:val="0020262E"/>
    <w:rsid w:val="002415E4"/>
    <w:rsid w:val="002447CD"/>
    <w:rsid w:val="0027152C"/>
    <w:rsid w:val="00277F4E"/>
    <w:rsid w:val="002934E9"/>
    <w:rsid w:val="002A638B"/>
    <w:rsid w:val="002C47D1"/>
    <w:rsid w:val="002D0B74"/>
    <w:rsid w:val="00320589"/>
    <w:rsid w:val="00323ADD"/>
    <w:rsid w:val="00355436"/>
    <w:rsid w:val="00363ABF"/>
    <w:rsid w:val="00374B9B"/>
    <w:rsid w:val="003D0C7D"/>
    <w:rsid w:val="003D67A9"/>
    <w:rsid w:val="003E0D33"/>
    <w:rsid w:val="0043318F"/>
    <w:rsid w:val="00473350"/>
    <w:rsid w:val="00473404"/>
    <w:rsid w:val="00487E18"/>
    <w:rsid w:val="004A61CF"/>
    <w:rsid w:val="004E6626"/>
    <w:rsid w:val="004F0E4F"/>
    <w:rsid w:val="005D6180"/>
    <w:rsid w:val="005E33F5"/>
    <w:rsid w:val="00616F94"/>
    <w:rsid w:val="00631D95"/>
    <w:rsid w:val="00640A95"/>
    <w:rsid w:val="00651FF9"/>
    <w:rsid w:val="00677FB7"/>
    <w:rsid w:val="00696144"/>
    <w:rsid w:val="006A3DD5"/>
    <w:rsid w:val="006C1412"/>
    <w:rsid w:val="006C6C7A"/>
    <w:rsid w:val="00722E9A"/>
    <w:rsid w:val="0078271C"/>
    <w:rsid w:val="007C7BA1"/>
    <w:rsid w:val="00827157"/>
    <w:rsid w:val="009418A6"/>
    <w:rsid w:val="009553D7"/>
    <w:rsid w:val="00980BBB"/>
    <w:rsid w:val="009A0398"/>
    <w:rsid w:val="009E3012"/>
    <w:rsid w:val="00A016AE"/>
    <w:rsid w:val="00A06C3E"/>
    <w:rsid w:val="00A24BEB"/>
    <w:rsid w:val="00A55B05"/>
    <w:rsid w:val="00A61B10"/>
    <w:rsid w:val="00A72926"/>
    <w:rsid w:val="00A72AEF"/>
    <w:rsid w:val="00A94ECF"/>
    <w:rsid w:val="00A959C4"/>
    <w:rsid w:val="00AA794E"/>
    <w:rsid w:val="00AE6271"/>
    <w:rsid w:val="00B058E3"/>
    <w:rsid w:val="00B37F2F"/>
    <w:rsid w:val="00B43B4F"/>
    <w:rsid w:val="00B577BA"/>
    <w:rsid w:val="00B57B76"/>
    <w:rsid w:val="00B66514"/>
    <w:rsid w:val="00B931D9"/>
    <w:rsid w:val="00BC6A9A"/>
    <w:rsid w:val="00BE230A"/>
    <w:rsid w:val="00C07AD0"/>
    <w:rsid w:val="00C156D1"/>
    <w:rsid w:val="00C201D7"/>
    <w:rsid w:val="00C56C83"/>
    <w:rsid w:val="00CA5730"/>
    <w:rsid w:val="00CC695C"/>
    <w:rsid w:val="00D072AE"/>
    <w:rsid w:val="00D223AC"/>
    <w:rsid w:val="00D46ADD"/>
    <w:rsid w:val="00D47FF8"/>
    <w:rsid w:val="00D527A6"/>
    <w:rsid w:val="00D75EA5"/>
    <w:rsid w:val="00D7797B"/>
    <w:rsid w:val="00D816D6"/>
    <w:rsid w:val="00D9678B"/>
    <w:rsid w:val="00DC1061"/>
    <w:rsid w:val="00DF1A6C"/>
    <w:rsid w:val="00E061A9"/>
    <w:rsid w:val="00E108A8"/>
    <w:rsid w:val="00E157B3"/>
    <w:rsid w:val="00E30E74"/>
    <w:rsid w:val="00EA6A60"/>
    <w:rsid w:val="00ED19A6"/>
    <w:rsid w:val="00F07379"/>
    <w:rsid w:val="00F7126C"/>
    <w:rsid w:val="00FA3441"/>
    <w:rsid w:val="00FB1E7B"/>
    <w:rsid w:val="00FD3242"/>
    <w:rsid w:val="00FD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1B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61B1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61B1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61B10"/>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A61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10"/>
    <w:rPr>
      <w:rFonts w:ascii="Tahoma" w:hAnsi="Tahoma" w:cs="Tahoma"/>
      <w:sz w:val="16"/>
      <w:szCs w:val="16"/>
    </w:rPr>
  </w:style>
  <w:style w:type="table" w:styleId="TableGrid">
    <w:name w:val="Table Grid"/>
    <w:basedOn w:val="TableNormal"/>
    <w:uiPriority w:val="1"/>
    <w:rsid w:val="00A61B10"/>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A61B10"/>
    <w:pPr>
      <w:spacing w:after="0" w:line="240" w:lineRule="auto"/>
    </w:pPr>
    <w:rPr>
      <w:rFonts w:cs="Times New Roman"/>
      <w:color w:val="000000" w:themeColor="text1"/>
      <w:szCs w:val="20"/>
      <w:lang w:eastAsia="ja-JP"/>
    </w:rPr>
  </w:style>
  <w:style w:type="character" w:customStyle="1" w:styleId="NoSpacingChar">
    <w:name w:val="No Spacing Char"/>
    <w:basedOn w:val="DefaultParagraphFont"/>
    <w:link w:val="NoSpacing"/>
    <w:uiPriority w:val="1"/>
    <w:rsid w:val="00FB1E7B"/>
    <w:rPr>
      <w:rFonts w:cs="Times New Roman"/>
      <w:color w:val="000000" w:themeColor="text1"/>
      <w:szCs w:val="20"/>
      <w:lang w:eastAsia="ja-JP"/>
    </w:rPr>
  </w:style>
  <w:style w:type="paragraph" w:styleId="Header">
    <w:name w:val="header"/>
    <w:basedOn w:val="Normal"/>
    <w:link w:val="HeaderChar"/>
    <w:uiPriority w:val="99"/>
    <w:unhideWhenUsed/>
    <w:rsid w:val="00677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FB7"/>
  </w:style>
  <w:style w:type="paragraph" w:styleId="Footer">
    <w:name w:val="footer"/>
    <w:basedOn w:val="Normal"/>
    <w:link w:val="FooterChar"/>
    <w:uiPriority w:val="99"/>
    <w:unhideWhenUsed/>
    <w:rsid w:val="00677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FB7"/>
  </w:style>
  <w:style w:type="paragraph" w:styleId="NormalWeb">
    <w:name w:val="Normal (Web)"/>
    <w:basedOn w:val="Normal"/>
    <w:uiPriority w:val="99"/>
    <w:semiHidden/>
    <w:unhideWhenUsed/>
    <w:rsid w:val="00E061A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1B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A61B1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A61B10"/>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A61B10"/>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A61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10"/>
    <w:rPr>
      <w:rFonts w:ascii="Tahoma" w:hAnsi="Tahoma" w:cs="Tahoma"/>
      <w:sz w:val="16"/>
      <w:szCs w:val="16"/>
    </w:rPr>
  </w:style>
  <w:style w:type="table" w:styleId="TableGrid">
    <w:name w:val="Table Grid"/>
    <w:basedOn w:val="TableNormal"/>
    <w:uiPriority w:val="1"/>
    <w:rsid w:val="00A61B10"/>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basedOn w:val="Normal"/>
    <w:link w:val="NoSpacingChar"/>
    <w:uiPriority w:val="1"/>
    <w:qFormat/>
    <w:rsid w:val="00A61B10"/>
    <w:pPr>
      <w:spacing w:after="0" w:line="240" w:lineRule="auto"/>
    </w:pPr>
    <w:rPr>
      <w:rFonts w:cs="Times New Roman"/>
      <w:color w:val="000000" w:themeColor="text1"/>
      <w:szCs w:val="20"/>
      <w:lang w:eastAsia="ja-JP"/>
    </w:rPr>
  </w:style>
  <w:style w:type="character" w:customStyle="1" w:styleId="NoSpacingChar">
    <w:name w:val="No Spacing Char"/>
    <w:basedOn w:val="DefaultParagraphFont"/>
    <w:link w:val="NoSpacing"/>
    <w:uiPriority w:val="1"/>
    <w:rsid w:val="00FB1E7B"/>
    <w:rPr>
      <w:rFonts w:cs="Times New Roman"/>
      <w:color w:val="000000" w:themeColor="text1"/>
      <w:szCs w:val="20"/>
      <w:lang w:eastAsia="ja-JP"/>
    </w:rPr>
  </w:style>
  <w:style w:type="paragraph" w:styleId="Header">
    <w:name w:val="header"/>
    <w:basedOn w:val="Normal"/>
    <w:link w:val="HeaderChar"/>
    <w:uiPriority w:val="99"/>
    <w:unhideWhenUsed/>
    <w:rsid w:val="00677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FB7"/>
  </w:style>
  <w:style w:type="paragraph" w:styleId="Footer">
    <w:name w:val="footer"/>
    <w:basedOn w:val="Normal"/>
    <w:link w:val="FooterChar"/>
    <w:uiPriority w:val="99"/>
    <w:unhideWhenUsed/>
    <w:rsid w:val="00677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FB7"/>
  </w:style>
  <w:style w:type="paragraph" w:styleId="NormalWeb">
    <w:name w:val="Normal (Web)"/>
    <w:basedOn w:val="Normal"/>
    <w:uiPriority w:val="99"/>
    <w:semiHidden/>
    <w:unhideWhenUsed/>
    <w:rsid w:val="00E061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0951">
      <w:bodyDiv w:val="1"/>
      <w:marLeft w:val="0"/>
      <w:marRight w:val="0"/>
      <w:marTop w:val="0"/>
      <w:marBottom w:val="0"/>
      <w:divBdr>
        <w:top w:val="none" w:sz="0" w:space="0" w:color="auto"/>
        <w:left w:val="none" w:sz="0" w:space="0" w:color="auto"/>
        <w:bottom w:val="none" w:sz="0" w:space="0" w:color="auto"/>
        <w:right w:val="none" w:sz="0" w:space="0" w:color="auto"/>
      </w:divBdr>
    </w:div>
    <w:div w:id="663124830">
      <w:bodyDiv w:val="1"/>
      <w:marLeft w:val="0"/>
      <w:marRight w:val="0"/>
      <w:marTop w:val="0"/>
      <w:marBottom w:val="0"/>
      <w:divBdr>
        <w:top w:val="none" w:sz="0" w:space="0" w:color="auto"/>
        <w:left w:val="none" w:sz="0" w:space="0" w:color="auto"/>
        <w:bottom w:val="none" w:sz="0" w:space="0" w:color="auto"/>
        <w:right w:val="none" w:sz="0" w:space="0" w:color="auto"/>
      </w:divBdr>
    </w:div>
    <w:div w:id="947081310">
      <w:bodyDiv w:val="1"/>
      <w:marLeft w:val="0"/>
      <w:marRight w:val="0"/>
      <w:marTop w:val="0"/>
      <w:marBottom w:val="0"/>
      <w:divBdr>
        <w:top w:val="none" w:sz="0" w:space="0" w:color="auto"/>
        <w:left w:val="none" w:sz="0" w:space="0" w:color="auto"/>
        <w:bottom w:val="none" w:sz="0" w:space="0" w:color="auto"/>
        <w:right w:val="none" w:sz="0" w:space="0" w:color="auto"/>
      </w:divBdr>
    </w:div>
    <w:div w:id="177513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hael.crush\Desktop\Deficiency%20rates%20by%20State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openxmlformats.org/officeDocument/2006/relationships/image" Target="../media/image3.jpeg"/><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HISTORY</a:t>
            </a:r>
            <a:r>
              <a:rPr lang="en-US" sz="1400" baseline="0"/>
              <a:t> OF </a:t>
            </a:r>
            <a:r>
              <a:rPr lang="en-US" sz="1400"/>
              <a:t>MAINE</a:t>
            </a:r>
            <a:r>
              <a:rPr lang="en-US" sz="1400" baseline="0"/>
              <a:t> DEFICIENCY </a:t>
            </a:r>
            <a:r>
              <a:rPr lang="en-US" sz="1400"/>
              <a:t>RATE</a:t>
            </a:r>
          </a:p>
        </c:rich>
      </c:tx>
      <c:layout/>
      <c:overlay val="0"/>
    </c:title>
    <c:autoTitleDeleted val="0"/>
    <c:view3D>
      <c:rotX val="15"/>
      <c:rotY val="20"/>
      <c:rAngAx val="1"/>
    </c:view3D>
    <c:floor>
      <c:thickness val="0"/>
      <c:spPr>
        <a:solidFill>
          <a:schemeClr val="lt1"/>
        </a:solidFill>
        <a:ln w="25400" cap="flat" cmpd="sng" algn="ctr">
          <a:solidFill>
            <a:schemeClr val="dk1"/>
          </a:solidFill>
          <a:prstDash val="solid"/>
        </a:ln>
        <a:effectLst/>
      </c:spPr>
    </c:floor>
    <c:sideWall>
      <c:thickness val="0"/>
    </c:sideWall>
    <c:backWall>
      <c:thickness val="0"/>
    </c:backWall>
    <c:plotArea>
      <c:layout/>
      <c:bar3DChart>
        <c:barDir val="col"/>
        <c:grouping val="clustered"/>
        <c:varyColors val="0"/>
        <c:ser>
          <c:idx val="0"/>
          <c:order val="0"/>
          <c:tx>
            <c:strRef>
              <c:f>Sheet1!$I$27</c:f>
              <c:strCache>
                <c:ptCount val="1"/>
                <c:pt idx="0">
                  <c:v>% FAIL</c:v>
                </c:pt>
              </c:strCache>
            </c:strRef>
          </c:tx>
          <c:invertIfNegative val="0"/>
          <c:dLbls>
            <c:txPr>
              <a:bodyPr/>
              <a:lstStyle/>
              <a:p>
                <a:pPr>
                  <a:defRPr sz="1200" b="1"/>
                </a:pPr>
                <a:endParaRPr lang="en-US"/>
              </a:p>
            </c:txPr>
            <c:showLegendKey val="0"/>
            <c:showVal val="1"/>
            <c:showCatName val="0"/>
            <c:showSerName val="0"/>
            <c:showPercent val="0"/>
            <c:showBubbleSize val="0"/>
            <c:showLeaderLines val="0"/>
          </c:dLbls>
          <c:cat>
            <c:numRef>
              <c:f>Sheet1!$J$22:$O$22</c:f>
              <c:numCache>
                <c:formatCode>General</c:formatCode>
                <c:ptCount val="6"/>
                <c:pt idx="0">
                  <c:v>2011</c:v>
                </c:pt>
                <c:pt idx="1">
                  <c:v>2012</c:v>
                </c:pt>
                <c:pt idx="2">
                  <c:v>2013</c:v>
                </c:pt>
                <c:pt idx="3">
                  <c:v>2014</c:v>
                </c:pt>
                <c:pt idx="4">
                  <c:v>2015</c:v>
                </c:pt>
                <c:pt idx="5">
                  <c:v>2016</c:v>
                </c:pt>
              </c:numCache>
            </c:numRef>
          </c:cat>
          <c:val>
            <c:numRef>
              <c:f>Sheet1!$J$27:$O$27</c:f>
              <c:numCache>
                <c:formatCode>0.0%</c:formatCode>
                <c:ptCount val="6"/>
                <c:pt idx="0">
                  <c:v>0.73469387755102045</c:v>
                </c:pt>
                <c:pt idx="1">
                  <c:v>0.86956521739130432</c:v>
                </c:pt>
                <c:pt idx="2">
                  <c:v>0.47297297297297297</c:v>
                </c:pt>
                <c:pt idx="3">
                  <c:v>0.45098039215686275</c:v>
                </c:pt>
                <c:pt idx="4">
                  <c:v>0.35555555555555557</c:v>
                </c:pt>
                <c:pt idx="5">
                  <c:v>0.23780487804878048</c:v>
                </c:pt>
              </c:numCache>
            </c:numRef>
          </c:val>
        </c:ser>
        <c:dLbls>
          <c:showLegendKey val="0"/>
          <c:showVal val="1"/>
          <c:showCatName val="0"/>
          <c:showSerName val="0"/>
          <c:showPercent val="0"/>
          <c:showBubbleSize val="0"/>
        </c:dLbls>
        <c:gapWidth val="150"/>
        <c:shape val="box"/>
        <c:axId val="92679552"/>
        <c:axId val="92731648"/>
        <c:axId val="0"/>
      </c:bar3DChart>
      <c:catAx>
        <c:axId val="92679552"/>
        <c:scaling>
          <c:orientation val="minMax"/>
        </c:scaling>
        <c:delete val="0"/>
        <c:axPos val="b"/>
        <c:numFmt formatCode="General" sourceLinked="1"/>
        <c:majorTickMark val="none"/>
        <c:minorTickMark val="none"/>
        <c:tickLblPos val="nextTo"/>
        <c:txPr>
          <a:bodyPr/>
          <a:lstStyle/>
          <a:p>
            <a:pPr>
              <a:defRPr sz="1200">
                <a:ln>
                  <a:solidFill>
                    <a:schemeClr val="tx1"/>
                  </a:solidFill>
                </a:ln>
                <a:solidFill>
                  <a:schemeClr val="tx1"/>
                </a:solidFill>
              </a:defRPr>
            </a:pPr>
            <a:endParaRPr lang="en-US"/>
          </a:p>
        </c:txPr>
        <c:crossAx val="92731648"/>
        <c:crosses val="autoZero"/>
        <c:auto val="1"/>
        <c:lblAlgn val="ctr"/>
        <c:lblOffset val="100"/>
        <c:noMultiLvlLbl val="0"/>
      </c:catAx>
      <c:valAx>
        <c:axId val="92731648"/>
        <c:scaling>
          <c:orientation val="minMax"/>
        </c:scaling>
        <c:delete val="1"/>
        <c:axPos val="l"/>
        <c:numFmt formatCode="0.0%" sourceLinked="1"/>
        <c:majorTickMark val="none"/>
        <c:minorTickMark val="none"/>
        <c:tickLblPos val="nextTo"/>
        <c:crossAx val="92679552"/>
        <c:crosses val="autoZero"/>
        <c:crossBetween val="between"/>
      </c:valAx>
      <c:spPr>
        <a:solidFill>
          <a:schemeClr val="bg2"/>
        </a:solidFill>
      </c:spPr>
    </c:plotArea>
    <c:plotVisOnly val="1"/>
    <c:dispBlanksAs val="gap"/>
    <c:showDLblsOverMax val="0"/>
  </c:chart>
  <c:spPr>
    <a:solidFill>
      <a:schemeClr val="bg1">
        <a:lumMod val="85000"/>
      </a:schemeClr>
    </a:solidFill>
    <a:ln w="28575">
      <a:solidFill>
        <a:schemeClr val="tx1"/>
      </a:solidFill>
    </a:ln>
    <a:scene3d>
      <a:camera prst="orthographicFront"/>
      <a:lightRig rig="threePt" dir="t"/>
    </a:scene3d>
    <a:sp3d>
      <a:bevelT prst="relaxedInset"/>
    </a:sp3d>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2016 Samples</a:t>
            </a:r>
          </a:p>
        </c:rich>
      </c:tx>
      <c:layout/>
      <c:overlay val="0"/>
    </c:title>
    <c:autoTitleDeleted val="0"/>
    <c:view3D>
      <c:rotX val="15"/>
      <c:rotY val="20"/>
      <c:rAngAx val="1"/>
    </c:view3D>
    <c:floor>
      <c:thickness val="0"/>
    </c:floor>
    <c:sideWall>
      <c:thickness val="0"/>
      <c:spPr>
        <a:solidFill>
          <a:schemeClr val="bg1">
            <a:lumMod val="85000"/>
          </a:schemeClr>
        </a:solidFill>
      </c:spPr>
    </c:sideWall>
    <c:backWall>
      <c:thickness val="0"/>
      <c:spPr>
        <a:solidFill>
          <a:schemeClr val="bg1">
            <a:lumMod val="85000"/>
          </a:schemeClr>
        </a:solidFill>
      </c:spPr>
    </c:backWall>
    <c:plotArea>
      <c:layout>
        <c:manualLayout>
          <c:layoutTarget val="inner"/>
          <c:xMode val="edge"/>
          <c:yMode val="edge"/>
          <c:x val="0.19336049546921441"/>
          <c:y val="0.24482684456109652"/>
          <c:w val="0.7793706616529994"/>
          <c:h val="0.3740915718868475"/>
        </c:manualLayout>
      </c:layout>
      <c:bar3DChart>
        <c:barDir val="col"/>
        <c:grouping val="clustered"/>
        <c:varyColors val="0"/>
        <c:ser>
          <c:idx val="0"/>
          <c:order val="0"/>
          <c:tx>
            <c:strRef>
              <c:f>Sheet2!$AB$1</c:f>
              <c:strCache>
                <c:ptCount val="1"/>
                <c:pt idx="0">
                  <c:v>Samples</c:v>
                </c:pt>
              </c:strCache>
            </c:strRef>
          </c:tx>
          <c:invertIfNegative val="0"/>
          <c:cat>
            <c:strRef>
              <c:f>Sheet2!$AA$2:$AA$4</c:f>
              <c:strCache>
                <c:ptCount val="3"/>
                <c:pt idx="0">
                  <c:v>Bulk</c:v>
                </c:pt>
                <c:pt idx="1">
                  <c:v>Retail</c:v>
                </c:pt>
                <c:pt idx="2">
                  <c:v>Total</c:v>
                </c:pt>
              </c:strCache>
            </c:strRef>
          </c:cat>
          <c:val>
            <c:numRef>
              <c:f>Sheet2!$AB$2:$AB$4</c:f>
              <c:numCache>
                <c:formatCode>General</c:formatCode>
                <c:ptCount val="3"/>
                <c:pt idx="0">
                  <c:v>102</c:v>
                </c:pt>
                <c:pt idx="1">
                  <c:v>62</c:v>
                </c:pt>
                <c:pt idx="2">
                  <c:v>164</c:v>
                </c:pt>
              </c:numCache>
            </c:numRef>
          </c:val>
        </c:ser>
        <c:ser>
          <c:idx val="1"/>
          <c:order val="1"/>
          <c:tx>
            <c:strRef>
              <c:f>Sheet2!$AC$1</c:f>
              <c:strCache>
                <c:ptCount val="1"/>
                <c:pt idx="0">
                  <c:v>Pass</c:v>
                </c:pt>
              </c:strCache>
            </c:strRef>
          </c:tx>
          <c:invertIfNegative val="0"/>
          <c:cat>
            <c:strRef>
              <c:f>Sheet2!$AA$2:$AA$4</c:f>
              <c:strCache>
                <c:ptCount val="3"/>
                <c:pt idx="0">
                  <c:v>Bulk</c:v>
                </c:pt>
                <c:pt idx="1">
                  <c:v>Retail</c:v>
                </c:pt>
                <c:pt idx="2">
                  <c:v>Total</c:v>
                </c:pt>
              </c:strCache>
            </c:strRef>
          </c:cat>
          <c:val>
            <c:numRef>
              <c:f>Sheet2!$AC$2:$AC$4</c:f>
              <c:numCache>
                <c:formatCode>General</c:formatCode>
                <c:ptCount val="3"/>
                <c:pt idx="0">
                  <c:v>78</c:v>
                </c:pt>
                <c:pt idx="1">
                  <c:v>47</c:v>
                </c:pt>
                <c:pt idx="2">
                  <c:v>125</c:v>
                </c:pt>
              </c:numCache>
            </c:numRef>
          </c:val>
        </c:ser>
        <c:ser>
          <c:idx val="2"/>
          <c:order val="2"/>
          <c:tx>
            <c:strRef>
              <c:f>Sheet2!$AD$1</c:f>
              <c:strCache>
                <c:ptCount val="1"/>
                <c:pt idx="0">
                  <c:v>Deficient</c:v>
                </c:pt>
              </c:strCache>
            </c:strRef>
          </c:tx>
          <c:invertIfNegative val="0"/>
          <c:cat>
            <c:strRef>
              <c:f>Sheet2!$AA$2:$AA$4</c:f>
              <c:strCache>
                <c:ptCount val="3"/>
                <c:pt idx="0">
                  <c:v>Bulk</c:v>
                </c:pt>
                <c:pt idx="1">
                  <c:v>Retail</c:v>
                </c:pt>
                <c:pt idx="2">
                  <c:v>Total</c:v>
                </c:pt>
              </c:strCache>
            </c:strRef>
          </c:cat>
          <c:val>
            <c:numRef>
              <c:f>Sheet2!$AD$2:$AD$4</c:f>
              <c:numCache>
                <c:formatCode>General</c:formatCode>
                <c:ptCount val="3"/>
                <c:pt idx="0">
                  <c:v>24</c:v>
                </c:pt>
                <c:pt idx="1">
                  <c:v>15</c:v>
                </c:pt>
                <c:pt idx="2">
                  <c:v>39</c:v>
                </c:pt>
              </c:numCache>
            </c:numRef>
          </c:val>
        </c:ser>
        <c:ser>
          <c:idx val="3"/>
          <c:order val="3"/>
          <c:tx>
            <c:strRef>
              <c:f>Sheet2!$AE$1</c:f>
              <c:strCache>
                <c:ptCount val="1"/>
                <c:pt idx="0">
                  <c:v>% Deficient</c:v>
                </c:pt>
              </c:strCache>
            </c:strRef>
          </c:tx>
          <c:invertIfNegative val="0"/>
          <c:cat>
            <c:strRef>
              <c:f>Sheet2!$AA$2:$AA$4</c:f>
              <c:strCache>
                <c:ptCount val="3"/>
                <c:pt idx="0">
                  <c:v>Bulk</c:v>
                </c:pt>
                <c:pt idx="1">
                  <c:v>Retail</c:v>
                </c:pt>
                <c:pt idx="2">
                  <c:v>Total</c:v>
                </c:pt>
              </c:strCache>
            </c:strRef>
          </c:cat>
          <c:val>
            <c:numRef>
              <c:f>Sheet2!$AE$2:$AE$4</c:f>
              <c:numCache>
                <c:formatCode>0.0%</c:formatCode>
                <c:ptCount val="3"/>
                <c:pt idx="0">
                  <c:v>0.23529411764705882</c:v>
                </c:pt>
                <c:pt idx="1">
                  <c:v>0.24193548387096775</c:v>
                </c:pt>
                <c:pt idx="2">
                  <c:v>0.23780487804878048</c:v>
                </c:pt>
              </c:numCache>
            </c:numRef>
          </c:val>
        </c:ser>
        <c:dLbls>
          <c:showLegendKey val="0"/>
          <c:showVal val="0"/>
          <c:showCatName val="0"/>
          <c:showSerName val="0"/>
          <c:showPercent val="0"/>
          <c:showBubbleSize val="0"/>
        </c:dLbls>
        <c:gapWidth val="150"/>
        <c:shape val="box"/>
        <c:axId val="93332608"/>
        <c:axId val="93334144"/>
        <c:axId val="0"/>
      </c:bar3DChart>
      <c:catAx>
        <c:axId val="93332608"/>
        <c:scaling>
          <c:orientation val="minMax"/>
        </c:scaling>
        <c:delete val="0"/>
        <c:axPos val="b"/>
        <c:majorTickMark val="none"/>
        <c:minorTickMark val="none"/>
        <c:tickLblPos val="nextTo"/>
        <c:crossAx val="93334144"/>
        <c:crosses val="autoZero"/>
        <c:auto val="1"/>
        <c:lblAlgn val="ctr"/>
        <c:lblOffset val="100"/>
        <c:noMultiLvlLbl val="0"/>
      </c:catAx>
      <c:valAx>
        <c:axId val="93334144"/>
        <c:scaling>
          <c:orientation val="minMax"/>
        </c:scaling>
        <c:delete val="1"/>
        <c:axPos val="l"/>
        <c:numFmt formatCode="General" sourceLinked="1"/>
        <c:majorTickMark val="none"/>
        <c:minorTickMark val="none"/>
        <c:tickLblPos val="nextTo"/>
        <c:crossAx val="93332608"/>
        <c:crosses val="autoZero"/>
        <c:crossBetween val="between"/>
      </c:valAx>
      <c:dTable>
        <c:showHorzBorder val="1"/>
        <c:showVertBorder val="1"/>
        <c:showOutline val="1"/>
        <c:showKeys val="1"/>
        <c:txPr>
          <a:bodyPr/>
          <a:lstStyle/>
          <a:p>
            <a:pPr rtl="0">
              <a:defRPr b="1"/>
            </a:pPr>
            <a:endParaRPr lang="en-US"/>
          </a:p>
        </c:txPr>
      </c:dTable>
      <c:spPr>
        <a:solidFill>
          <a:schemeClr val="bg2"/>
        </a:solidFill>
        <a:ln w="25400" cap="flat" cmpd="sng" algn="ctr">
          <a:noFill/>
          <a:prstDash val="solid"/>
        </a:ln>
        <a:effectLst/>
      </c:spPr>
    </c:plotArea>
    <c:plotVisOnly val="1"/>
    <c:dispBlanksAs val="gap"/>
    <c:showDLblsOverMax val="0"/>
  </c:chart>
  <c:spPr>
    <a:solidFill>
      <a:schemeClr val="bg2">
        <a:lumMod val="90000"/>
      </a:schemeClr>
    </a:solidFill>
    <a:ln w="38100"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2016 Blend Plant Results</a:t>
            </a:r>
          </a:p>
        </c:rich>
      </c:tx>
      <c:layout/>
      <c:overlay val="0"/>
      <c:spPr>
        <a:solidFill>
          <a:schemeClr val="bg2">
            <a:lumMod val="90000"/>
          </a:schemeClr>
        </a:solidFill>
      </c:spPr>
    </c:title>
    <c:autoTitleDeleted val="0"/>
    <c:view3D>
      <c:rotX val="15"/>
      <c:rotY val="2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clustered"/>
        <c:varyColors val="0"/>
        <c:ser>
          <c:idx val="0"/>
          <c:order val="0"/>
          <c:invertIfNegative val="0"/>
          <c:dLbls>
            <c:dLbl>
              <c:idx val="0"/>
              <c:layout>
                <c:manualLayout>
                  <c:x val="3.888888888888889E-2"/>
                  <c:y val="-5.5555555555555552E-2"/>
                </c:manualLayout>
              </c:layout>
              <c:showLegendKey val="0"/>
              <c:showVal val="1"/>
              <c:showCatName val="0"/>
              <c:showSerName val="0"/>
              <c:showPercent val="0"/>
              <c:showBubbleSize val="0"/>
            </c:dLbl>
            <c:dLbl>
              <c:idx val="1"/>
              <c:layout>
                <c:manualLayout>
                  <c:x val="2.5000000000000001E-2"/>
                  <c:y val="-6.4814814814814811E-2"/>
                </c:manualLayout>
              </c:layout>
              <c:showLegendKey val="0"/>
              <c:showVal val="1"/>
              <c:showCatName val="0"/>
              <c:showSerName val="0"/>
              <c:showPercent val="0"/>
              <c:showBubbleSize val="0"/>
            </c:dLbl>
            <c:dLbl>
              <c:idx val="2"/>
              <c:layout>
                <c:manualLayout>
                  <c:x val="3.0555555555555555E-2"/>
                  <c:y val="-6.0185185185185182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Sheet2!$J$2:$L$2</c:f>
              <c:strCache>
                <c:ptCount val="3"/>
                <c:pt idx="0">
                  <c:v>Total Samples</c:v>
                </c:pt>
                <c:pt idx="1">
                  <c:v>Pass</c:v>
                </c:pt>
                <c:pt idx="2">
                  <c:v>Deficient</c:v>
                </c:pt>
              </c:strCache>
            </c:strRef>
          </c:cat>
          <c:val>
            <c:numRef>
              <c:f>Sheet2!$J$3:$L$3</c:f>
              <c:numCache>
                <c:formatCode>General</c:formatCode>
                <c:ptCount val="3"/>
                <c:pt idx="0">
                  <c:v>102</c:v>
                </c:pt>
                <c:pt idx="1">
                  <c:v>78</c:v>
                </c:pt>
                <c:pt idx="2">
                  <c:v>24</c:v>
                </c:pt>
              </c:numCache>
            </c:numRef>
          </c:val>
        </c:ser>
        <c:dLbls>
          <c:showLegendKey val="0"/>
          <c:showVal val="1"/>
          <c:showCatName val="0"/>
          <c:showSerName val="0"/>
          <c:showPercent val="0"/>
          <c:showBubbleSize val="0"/>
        </c:dLbls>
        <c:gapWidth val="150"/>
        <c:shape val="box"/>
        <c:axId val="82175488"/>
        <c:axId val="93369472"/>
        <c:axId val="0"/>
      </c:bar3DChart>
      <c:catAx>
        <c:axId val="82175488"/>
        <c:scaling>
          <c:orientation val="minMax"/>
        </c:scaling>
        <c:delete val="0"/>
        <c:axPos val="b"/>
        <c:title>
          <c:tx>
            <c:rich>
              <a:bodyPr/>
              <a:lstStyle/>
              <a:p>
                <a:pPr>
                  <a:defRPr/>
                </a:pPr>
                <a:r>
                  <a:rPr lang="en-US"/>
                  <a:t>Bulk Samples from Plant Locations &amp; Border Stations </a:t>
                </a:r>
              </a:p>
            </c:rich>
          </c:tx>
          <c:layout>
            <c:manualLayout>
              <c:xMode val="edge"/>
              <c:yMode val="edge"/>
              <c:x val="0.15826793525809274"/>
              <c:y val="0.89837525517643624"/>
            </c:manualLayout>
          </c:layout>
          <c:overlay val="0"/>
        </c:title>
        <c:majorTickMark val="none"/>
        <c:minorTickMark val="none"/>
        <c:tickLblPos val="nextTo"/>
        <c:spPr>
          <a:solidFill>
            <a:schemeClr val="bg2"/>
          </a:solidFill>
        </c:spPr>
        <c:txPr>
          <a:bodyPr/>
          <a:lstStyle/>
          <a:p>
            <a:pPr>
              <a:defRPr b="1"/>
            </a:pPr>
            <a:endParaRPr lang="en-US"/>
          </a:p>
        </c:txPr>
        <c:crossAx val="93369472"/>
        <c:crosses val="autoZero"/>
        <c:auto val="1"/>
        <c:lblAlgn val="ctr"/>
        <c:lblOffset val="100"/>
        <c:noMultiLvlLbl val="0"/>
      </c:catAx>
      <c:valAx>
        <c:axId val="93369472"/>
        <c:scaling>
          <c:orientation val="minMax"/>
        </c:scaling>
        <c:delete val="1"/>
        <c:axPos val="l"/>
        <c:numFmt formatCode="General" sourceLinked="1"/>
        <c:majorTickMark val="out"/>
        <c:minorTickMark val="none"/>
        <c:tickLblPos val="nextTo"/>
        <c:crossAx val="82175488"/>
        <c:crosses val="autoZero"/>
        <c:crossBetween val="between"/>
      </c:valAx>
    </c:plotArea>
    <c:plotVisOnly val="1"/>
    <c:dispBlanksAs val="gap"/>
    <c:showDLblsOverMax val="0"/>
  </c:chart>
  <c:spPr>
    <a:solidFill>
      <a:schemeClr val="accent6">
        <a:lumMod val="20000"/>
        <a:lumOff val="80000"/>
      </a:schemeClr>
    </a:solidFill>
    <a:ln w="28575"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2016 Retail Sampling Results</a:t>
            </a:r>
          </a:p>
        </c:rich>
      </c:tx>
      <c:layout/>
      <c:overlay val="0"/>
      <c:spPr>
        <a:solidFill>
          <a:schemeClr val="bg2">
            <a:lumMod val="90000"/>
          </a:schemeClr>
        </a:solidFill>
      </c:spPr>
    </c:title>
    <c:autoTitleDeleted val="0"/>
    <c:view3D>
      <c:rotX val="15"/>
      <c:rotY val="20"/>
      <c:rAngAx val="1"/>
    </c:view3D>
    <c:floor>
      <c:thickness val="0"/>
    </c:floor>
    <c:sideWall>
      <c:thickness val="0"/>
      <c:spPr>
        <a:solidFill>
          <a:schemeClr val="bg2">
            <a:lumMod val="90000"/>
          </a:schemeClr>
        </a:solidFill>
      </c:spPr>
    </c:sideWall>
    <c:backWall>
      <c:thickness val="0"/>
      <c:spPr>
        <a:solidFill>
          <a:schemeClr val="bg2">
            <a:lumMod val="90000"/>
          </a:schemeClr>
        </a:solidFill>
      </c:spPr>
    </c:backWall>
    <c:plotArea>
      <c:layout/>
      <c:bar3DChart>
        <c:barDir val="col"/>
        <c:grouping val="clustered"/>
        <c:varyColors val="0"/>
        <c:ser>
          <c:idx val="0"/>
          <c:order val="0"/>
          <c:invertIfNegative val="0"/>
          <c:dLbls>
            <c:dLbl>
              <c:idx val="0"/>
              <c:layout>
                <c:manualLayout>
                  <c:x val="2.5000000000000001E-2"/>
                  <c:y val="-4.6296296296296294E-2"/>
                </c:manualLayout>
              </c:layout>
              <c:showLegendKey val="0"/>
              <c:showVal val="1"/>
              <c:showCatName val="0"/>
              <c:showSerName val="0"/>
              <c:showPercent val="0"/>
              <c:showBubbleSize val="0"/>
            </c:dLbl>
            <c:dLbl>
              <c:idx val="1"/>
              <c:layout>
                <c:manualLayout>
                  <c:x val="2.2222222222222223E-2"/>
                  <c:y val="-6.0185185185185182E-2"/>
                </c:manualLayout>
              </c:layout>
              <c:showLegendKey val="0"/>
              <c:showVal val="1"/>
              <c:showCatName val="0"/>
              <c:showSerName val="0"/>
              <c:showPercent val="0"/>
              <c:showBubbleSize val="0"/>
            </c:dLbl>
            <c:dLbl>
              <c:idx val="2"/>
              <c:layout>
                <c:manualLayout>
                  <c:x val="3.3333333333333333E-2"/>
                  <c:y val="-6.9444444444444448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Sheet2!$Y$2:$AA$2</c:f>
              <c:strCache>
                <c:ptCount val="3"/>
                <c:pt idx="0">
                  <c:v>Total Samples</c:v>
                </c:pt>
                <c:pt idx="1">
                  <c:v>Pass</c:v>
                </c:pt>
                <c:pt idx="2">
                  <c:v>Deficient</c:v>
                </c:pt>
              </c:strCache>
            </c:strRef>
          </c:cat>
          <c:val>
            <c:numRef>
              <c:f>Sheet2!$Y$3:$AA$3</c:f>
              <c:numCache>
                <c:formatCode>General</c:formatCode>
                <c:ptCount val="3"/>
                <c:pt idx="0">
                  <c:v>62</c:v>
                </c:pt>
                <c:pt idx="1">
                  <c:v>47</c:v>
                </c:pt>
                <c:pt idx="2">
                  <c:v>15</c:v>
                </c:pt>
              </c:numCache>
            </c:numRef>
          </c:val>
        </c:ser>
        <c:dLbls>
          <c:showLegendKey val="0"/>
          <c:showVal val="1"/>
          <c:showCatName val="0"/>
          <c:showSerName val="0"/>
          <c:showPercent val="0"/>
          <c:showBubbleSize val="0"/>
        </c:dLbls>
        <c:gapWidth val="150"/>
        <c:shape val="box"/>
        <c:axId val="93852032"/>
        <c:axId val="93855104"/>
        <c:axId val="0"/>
      </c:bar3DChart>
      <c:catAx>
        <c:axId val="93852032"/>
        <c:scaling>
          <c:orientation val="minMax"/>
        </c:scaling>
        <c:delete val="0"/>
        <c:axPos val="b"/>
        <c:title>
          <c:tx>
            <c:rich>
              <a:bodyPr/>
              <a:lstStyle/>
              <a:p>
                <a:pPr>
                  <a:defRPr/>
                </a:pPr>
                <a:r>
                  <a:rPr lang="en-US"/>
                  <a:t>Samples from Retail Locations, Farms &amp; Distributors includes Bulk Bags, Retail Bags &amp; Liquids</a:t>
                </a:r>
              </a:p>
            </c:rich>
          </c:tx>
          <c:layout>
            <c:manualLayout>
              <c:xMode val="edge"/>
              <c:yMode val="edge"/>
              <c:x val="8.2719378827646545E-2"/>
              <c:y val="0.85207895888013996"/>
            </c:manualLayout>
          </c:layout>
          <c:overlay val="0"/>
        </c:title>
        <c:majorTickMark val="none"/>
        <c:minorTickMark val="none"/>
        <c:tickLblPos val="nextTo"/>
        <c:spPr>
          <a:solidFill>
            <a:schemeClr val="bg2"/>
          </a:solidFill>
        </c:spPr>
        <c:txPr>
          <a:bodyPr/>
          <a:lstStyle/>
          <a:p>
            <a:pPr>
              <a:defRPr b="1"/>
            </a:pPr>
            <a:endParaRPr lang="en-US"/>
          </a:p>
        </c:txPr>
        <c:crossAx val="93855104"/>
        <c:crosses val="autoZero"/>
        <c:auto val="1"/>
        <c:lblAlgn val="ctr"/>
        <c:lblOffset val="100"/>
        <c:noMultiLvlLbl val="0"/>
      </c:catAx>
      <c:valAx>
        <c:axId val="93855104"/>
        <c:scaling>
          <c:orientation val="minMax"/>
        </c:scaling>
        <c:delete val="1"/>
        <c:axPos val="l"/>
        <c:numFmt formatCode="General" sourceLinked="1"/>
        <c:majorTickMark val="out"/>
        <c:minorTickMark val="none"/>
        <c:tickLblPos val="nextTo"/>
        <c:crossAx val="93852032"/>
        <c:crosses val="autoZero"/>
        <c:crossBetween val="between"/>
      </c:valAx>
    </c:plotArea>
    <c:plotVisOnly val="1"/>
    <c:dispBlanksAs val="gap"/>
    <c:showDLblsOverMax val="0"/>
  </c:chart>
  <c:spPr>
    <a:solidFill>
      <a:schemeClr val="accent6">
        <a:lumMod val="20000"/>
        <a:lumOff val="80000"/>
      </a:schemeClr>
    </a:solidFill>
    <a:ln w="28575"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nchor="t" anchorCtr="1"/>
          <a:lstStyle/>
          <a:p>
            <a:pPr algn="ctr">
              <a:defRPr/>
            </a:pPr>
            <a:r>
              <a:rPr lang="en-US" sz="1400"/>
              <a:t>2016 Deficiency Rates compared with other States</a:t>
            </a:r>
          </a:p>
        </c:rich>
      </c:tx>
      <c:layout>
        <c:manualLayout>
          <c:xMode val="edge"/>
          <c:yMode val="edge"/>
          <c:x val="0.13975694444444442"/>
          <c:y val="2.3640661938534278E-2"/>
        </c:manualLayout>
      </c:layout>
      <c:overlay val="0"/>
    </c:title>
    <c:autoTitleDeleted val="0"/>
    <c:view3D>
      <c:rotX val="15"/>
      <c:rotY val="20"/>
      <c:rAngAx val="1"/>
    </c:view3D>
    <c:floor>
      <c:thickness val="0"/>
    </c:floor>
    <c:sideWall>
      <c:thickness val="0"/>
      <c:spPr>
        <a:noFill/>
        <a:ln w="25400">
          <a:noFill/>
        </a:ln>
      </c:spPr>
    </c:sideWall>
    <c:backWall>
      <c:thickness val="0"/>
    </c:backWall>
    <c:plotArea>
      <c:layout>
        <c:manualLayout>
          <c:layoutTarget val="inner"/>
          <c:xMode val="edge"/>
          <c:yMode val="edge"/>
          <c:x val="3.2242063492063495E-2"/>
          <c:y val="0.13586004541985444"/>
          <c:w val="0.94543650793650791"/>
          <c:h val="0.75404334431600295"/>
        </c:manualLayout>
      </c:layout>
      <c:bar3DChart>
        <c:barDir val="col"/>
        <c:grouping val="clustered"/>
        <c:varyColors val="0"/>
        <c:ser>
          <c:idx val="0"/>
          <c:order val="0"/>
          <c:tx>
            <c:strRef>
              <c:f>Sheet1!$L$3</c:f>
              <c:strCache>
                <c:ptCount val="1"/>
                <c:pt idx="0">
                  <c:v>% Deficient</c:v>
                </c:pt>
              </c:strCache>
            </c:strRef>
          </c:tx>
          <c:invertIfNegative val="0"/>
          <c:dLbls>
            <c:txPr>
              <a:bodyPr/>
              <a:lstStyle/>
              <a:p>
                <a:pPr>
                  <a:defRPr sz="1050" b="1"/>
                </a:pPr>
                <a:endParaRPr lang="en-US"/>
              </a:p>
            </c:txPr>
            <c:showLegendKey val="0"/>
            <c:showVal val="1"/>
            <c:showCatName val="0"/>
            <c:showSerName val="0"/>
            <c:showPercent val="0"/>
            <c:showBubbleSize val="0"/>
            <c:showLeaderLines val="0"/>
          </c:dLbls>
          <c:cat>
            <c:strRef>
              <c:f>Sheet1!$I$4:$I$17</c:f>
              <c:strCache>
                <c:ptCount val="14"/>
                <c:pt idx="0">
                  <c:v>FL</c:v>
                </c:pt>
                <c:pt idx="1">
                  <c:v>AR </c:v>
                </c:pt>
                <c:pt idx="2">
                  <c:v>OR</c:v>
                </c:pt>
                <c:pt idx="3">
                  <c:v>LA </c:v>
                </c:pt>
                <c:pt idx="4">
                  <c:v>KY </c:v>
                </c:pt>
                <c:pt idx="5">
                  <c:v>IN </c:v>
                </c:pt>
                <c:pt idx="6">
                  <c:v>NY</c:v>
                </c:pt>
                <c:pt idx="7">
                  <c:v>CA</c:v>
                </c:pt>
                <c:pt idx="8">
                  <c:v>TX</c:v>
                </c:pt>
                <c:pt idx="9">
                  <c:v>PA </c:v>
                </c:pt>
                <c:pt idx="10">
                  <c:v>SD </c:v>
                </c:pt>
                <c:pt idx="11">
                  <c:v>NJ </c:v>
                </c:pt>
                <c:pt idx="12">
                  <c:v>GA </c:v>
                </c:pt>
                <c:pt idx="13">
                  <c:v>ME  </c:v>
                </c:pt>
              </c:strCache>
            </c:strRef>
          </c:cat>
          <c:val>
            <c:numRef>
              <c:f>Sheet1!$L$4:$L$17</c:f>
              <c:numCache>
                <c:formatCode>0.0%</c:formatCode>
                <c:ptCount val="14"/>
                <c:pt idx="0">
                  <c:v>0.22705730288668677</c:v>
                </c:pt>
                <c:pt idx="1">
                  <c:v>7.0218579234972683E-2</c:v>
                </c:pt>
                <c:pt idx="2">
                  <c:v>0.26</c:v>
                </c:pt>
                <c:pt idx="3">
                  <c:v>0.05</c:v>
                </c:pt>
                <c:pt idx="4">
                  <c:v>0.08</c:v>
                </c:pt>
                <c:pt idx="5">
                  <c:v>0.10986042323277803</c:v>
                </c:pt>
                <c:pt idx="6">
                  <c:v>0.3</c:v>
                </c:pt>
                <c:pt idx="7">
                  <c:v>0.20300000000000001</c:v>
                </c:pt>
                <c:pt idx="8">
                  <c:v>0.15</c:v>
                </c:pt>
                <c:pt idx="9">
                  <c:v>0.27500000000000002</c:v>
                </c:pt>
                <c:pt idx="10">
                  <c:v>0.15665236051502146</c:v>
                </c:pt>
                <c:pt idx="11">
                  <c:v>0.14499999999999999</c:v>
                </c:pt>
                <c:pt idx="12">
                  <c:v>0.125</c:v>
                </c:pt>
                <c:pt idx="13">
                  <c:v>0.23780487804878048</c:v>
                </c:pt>
              </c:numCache>
            </c:numRef>
          </c:val>
        </c:ser>
        <c:dLbls>
          <c:showLegendKey val="0"/>
          <c:showVal val="0"/>
          <c:showCatName val="0"/>
          <c:showSerName val="0"/>
          <c:showPercent val="0"/>
          <c:showBubbleSize val="0"/>
        </c:dLbls>
        <c:gapWidth val="216"/>
        <c:gapDepth val="220"/>
        <c:shape val="box"/>
        <c:axId val="93942144"/>
        <c:axId val="93943680"/>
        <c:axId val="0"/>
      </c:bar3DChart>
      <c:catAx>
        <c:axId val="93942144"/>
        <c:scaling>
          <c:orientation val="minMax"/>
        </c:scaling>
        <c:delete val="0"/>
        <c:axPos val="b"/>
        <c:majorTickMark val="none"/>
        <c:minorTickMark val="none"/>
        <c:tickLblPos val="nextTo"/>
        <c:txPr>
          <a:bodyPr/>
          <a:lstStyle/>
          <a:p>
            <a:pPr>
              <a:defRPr sz="1200" b="1"/>
            </a:pPr>
            <a:endParaRPr lang="en-US"/>
          </a:p>
        </c:txPr>
        <c:crossAx val="93943680"/>
        <c:crosses val="autoZero"/>
        <c:auto val="1"/>
        <c:lblAlgn val="ctr"/>
        <c:lblOffset val="100"/>
        <c:tickLblSkip val="1"/>
        <c:tickMarkSkip val="5"/>
        <c:noMultiLvlLbl val="0"/>
      </c:catAx>
      <c:valAx>
        <c:axId val="93943680"/>
        <c:scaling>
          <c:orientation val="minMax"/>
        </c:scaling>
        <c:delete val="1"/>
        <c:axPos val="l"/>
        <c:numFmt formatCode="0.0%" sourceLinked="1"/>
        <c:majorTickMark val="none"/>
        <c:minorTickMark val="none"/>
        <c:tickLblPos val="nextTo"/>
        <c:crossAx val="93942144"/>
        <c:crosses val="autoZero"/>
        <c:crossBetween val="between"/>
      </c:valAx>
    </c:plotArea>
    <c:plotVisOnly val="1"/>
    <c:dispBlanksAs val="gap"/>
    <c:showDLblsOverMax val="0"/>
  </c:chart>
  <c:spPr>
    <a:solidFill>
      <a:schemeClr val="bg1">
        <a:lumMod val="85000"/>
      </a:schemeClr>
    </a:solidFill>
    <a:ln w="38100"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2016 Blend Plant Results by Plant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Sheet2!$F$2</c:f>
              <c:strCache>
                <c:ptCount val="1"/>
                <c:pt idx="0">
                  <c:v>% Pass</c:v>
                </c:pt>
              </c:strCache>
            </c:strRef>
          </c:tx>
          <c:spPr>
            <a:scene3d>
              <a:camera prst="orthographicFront"/>
              <a:lightRig rig="threePt" dir="t"/>
            </a:scene3d>
          </c:spPr>
          <c:invertIfNegative val="0"/>
          <c:dLbls>
            <c:txPr>
              <a:bodyPr/>
              <a:lstStyle/>
              <a:p>
                <a:pPr>
                  <a:defRPr b="1"/>
                </a:pPr>
                <a:endParaRPr lang="en-US"/>
              </a:p>
            </c:txPr>
            <c:showLegendKey val="0"/>
            <c:showVal val="1"/>
            <c:showCatName val="0"/>
            <c:showSerName val="0"/>
            <c:showPercent val="0"/>
            <c:showBubbleSize val="0"/>
            <c:showLeaderLines val="0"/>
          </c:dLbls>
          <c:cat>
            <c:multiLvlStrRef>
              <c:f>Sheet2!$A$3:$B$9</c:f>
              <c:multiLvlStrCache>
                <c:ptCount val="7"/>
                <c:lvl>
                  <c:pt idx="0">
                    <c:v>Fort Fairfield</c:v>
                  </c:pt>
                  <c:pt idx="1">
                    <c:v>Houlton</c:v>
                  </c:pt>
                  <c:pt idx="2">
                    <c:v>Grand Falls, NB</c:v>
                  </c:pt>
                  <c:pt idx="3">
                    <c:v>Hartland, NB</c:v>
                  </c:pt>
                  <c:pt idx="4">
                    <c:v>Florenceville, NB</c:v>
                  </c:pt>
                  <c:pt idx="5">
                    <c:v>Grand Falls, NB</c:v>
                  </c:pt>
                  <c:pt idx="6">
                    <c:v>Detroit, ME</c:v>
                  </c:pt>
                </c:lvl>
                <c:lvl>
                  <c:pt idx="0">
                    <c:v>Cavendish Agri-Services, Inc.</c:v>
                  </c:pt>
                  <c:pt idx="1">
                    <c:v>Cavendish Agri-Services, Inc.</c:v>
                  </c:pt>
                  <c:pt idx="2">
                    <c:v>Grand Falls Agromart Ltd.</c:v>
                  </c:pt>
                  <c:pt idx="3">
                    <c:v>Hartland Agromart Ltd.</c:v>
                  </c:pt>
                  <c:pt idx="4">
                    <c:v>McCain Fertilizers</c:v>
                  </c:pt>
                  <c:pt idx="5">
                    <c:v>McCain Fertilizers</c:v>
                  </c:pt>
                  <c:pt idx="6">
                    <c:v>Northeast Agricultural Sales Inc.</c:v>
                  </c:pt>
                </c:lvl>
              </c:multiLvlStrCache>
            </c:multiLvlStrRef>
          </c:cat>
          <c:val>
            <c:numRef>
              <c:f>Sheet2!$F$3:$F$9</c:f>
              <c:numCache>
                <c:formatCode>0.0%</c:formatCode>
                <c:ptCount val="7"/>
                <c:pt idx="0">
                  <c:v>0.7</c:v>
                </c:pt>
                <c:pt idx="1">
                  <c:v>0.83333333333333337</c:v>
                </c:pt>
                <c:pt idx="2">
                  <c:v>0.76923076923076927</c:v>
                </c:pt>
                <c:pt idx="3">
                  <c:v>0.83333333333333337</c:v>
                </c:pt>
                <c:pt idx="4">
                  <c:v>0.75</c:v>
                </c:pt>
                <c:pt idx="5">
                  <c:v>0.81818181818181823</c:v>
                </c:pt>
                <c:pt idx="6">
                  <c:v>0.65</c:v>
                </c:pt>
              </c:numCache>
            </c:numRef>
          </c:val>
        </c:ser>
        <c:ser>
          <c:idx val="1"/>
          <c:order val="1"/>
          <c:tx>
            <c:strRef>
              <c:f>Sheet2!$G$2</c:f>
              <c:strCache>
                <c:ptCount val="1"/>
                <c:pt idx="0">
                  <c:v>% Fail</c:v>
                </c:pt>
              </c:strCache>
            </c:strRef>
          </c:tx>
          <c:invertIfNegative val="0"/>
          <c:dLbls>
            <c:dLbl>
              <c:idx val="0"/>
              <c:layout>
                <c:manualLayout>
                  <c:x val="2.8946178199909543E-2"/>
                  <c:y val="-1.0345939290109709E-2"/>
                </c:manualLayout>
              </c:layout>
              <c:showLegendKey val="0"/>
              <c:showVal val="1"/>
              <c:showCatName val="0"/>
              <c:showSerName val="0"/>
              <c:showPercent val="0"/>
              <c:showBubbleSize val="0"/>
            </c:dLbl>
            <c:dLbl>
              <c:idx val="1"/>
              <c:layout>
                <c:manualLayout>
                  <c:x val="2.8946178199909543E-2"/>
                  <c:y val="-1.5518908935164565E-2"/>
                </c:manualLayout>
              </c:layout>
              <c:showLegendKey val="0"/>
              <c:showVal val="1"/>
              <c:showCatName val="0"/>
              <c:showSerName val="0"/>
              <c:showPercent val="0"/>
              <c:showBubbleSize val="0"/>
            </c:dLbl>
            <c:dLbl>
              <c:idx val="2"/>
              <c:layout>
                <c:manualLayout>
                  <c:x val="3.2564450474898234E-2"/>
                  <c:y val="-1.5518908935164565E-2"/>
                </c:manualLayout>
              </c:layout>
              <c:showLegendKey val="0"/>
              <c:showVal val="1"/>
              <c:showCatName val="0"/>
              <c:showSerName val="0"/>
              <c:showPercent val="0"/>
              <c:showBubbleSize val="0"/>
            </c:dLbl>
            <c:dLbl>
              <c:idx val="3"/>
              <c:layout>
                <c:manualLayout>
                  <c:x val="3.2564450474898171E-2"/>
                  <c:y val="-1.5518908935164565E-2"/>
                </c:manualLayout>
              </c:layout>
              <c:showLegendKey val="0"/>
              <c:showVal val="1"/>
              <c:showCatName val="0"/>
              <c:showSerName val="0"/>
              <c:showPercent val="0"/>
              <c:showBubbleSize val="0"/>
            </c:dLbl>
            <c:dLbl>
              <c:idx val="4"/>
              <c:layout>
                <c:manualLayout>
                  <c:x val="3.2564450474898234E-2"/>
                  <c:y val="-1.2932424112637137E-2"/>
                </c:manualLayout>
              </c:layout>
              <c:showLegendKey val="0"/>
              <c:showVal val="1"/>
              <c:showCatName val="0"/>
              <c:showSerName val="0"/>
              <c:showPercent val="0"/>
              <c:showBubbleSize val="0"/>
            </c:dLbl>
            <c:dLbl>
              <c:idx val="5"/>
              <c:layout>
                <c:manualLayout>
                  <c:x val="3.0755314337403888E-2"/>
                  <c:y val="-1.5518908935164565E-2"/>
                </c:manualLayout>
              </c:layout>
              <c:showLegendKey val="0"/>
              <c:showVal val="1"/>
              <c:showCatName val="0"/>
              <c:showSerName val="0"/>
              <c:showPercent val="0"/>
              <c:showBubbleSize val="0"/>
            </c:dLbl>
            <c:dLbl>
              <c:idx val="6"/>
              <c:layout>
                <c:manualLayout>
                  <c:x val="3.2564450474898234E-2"/>
                  <c:y val="-1.5518908935164565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multiLvlStrRef>
              <c:f>Sheet2!$A$3:$B$9</c:f>
              <c:multiLvlStrCache>
                <c:ptCount val="7"/>
                <c:lvl>
                  <c:pt idx="0">
                    <c:v>Fort Fairfield</c:v>
                  </c:pt>
                  <c:pt idx="1">
                    <c:v>Houlton</c:v>
                  </c:pt>
                  <c:pt idx="2">
                    <c:v>Grand Falls, NB</c:v>
                  </c:pt>
                  <c:pt idx="3">
                    <c:v>Hartland, NB</c:v>
                  </c:pt>
                  <c:pt idx="4">
                    <c:v>Florenceville, NB</c:v>
                  </c:pt>
                  <c:pt idx="5">
                    <c:v>Grand Falls, NB</c:v>
                  </c:pt>
                  <c:pt idx="6">
                    <c:v>Detroit, ME</c:v>
                  </c:pt>
                </c:lvl>
                <c:lvl>
                  <c:pt idx="0">
                    <c:v>Cavendish Agri-Services, Inc.</c:v>
                  </c:pt>
                  <c:pt idx="1">
                    <c:v>Cavendish Agri-Services, Inc.</c:v>
                  </c:pt>
                  <c:pt idx="2">
                    <c:v>Grand Falls Agromart Ltd.</c:v>
                  </c:pt>
                  <c:pt idx="3">
                    <c:v>Hartland Agromart Ltd.</c:v>
                  </c:pt>
                  <c:pt idx="4">
                    <c:v>McCain Fertilizers</c:v>
                  </c:pt>
                  <c:pt idx="5">
                    <c:v>McCain Fertilizers</c:v>
                  </c:pt>
                  <c:pt idx="6">
                    <c:v>Northeast Agricultural Sales Inc.</c:v>
                  </c:pt>
                </c:lvl>
              </c:multiLvlStrCache>
            </c:multiLvlStrRef>
          </c:cat>
          <c:val>
            <c:numRef>
              <c:f>Sheet2!$G$3:$G$9</c:f>
              <c:numCache>
                <c:formatCode>0.0%</c:formatCode>
                <c:ptCount val="7"/>
                <c:pt idx="0">
                  <c:v>0.3</c:v>
                </c:pt>
                <c:pt idx="1">
                  <c:v>0.16666666666666666</c:v>
                </c:pt>
                <c:pt idx="2">
                  <c:v>0.23076923076923078</c:v>
                </c:pt>
                <c:pt idx="3">
                  <c:v>0.16666666666666666</c:v>
                </c:pt>
                <c:pt idx="4">
                  <c:v>0.25</c:v>
                </c:pt>
                <c:pt idx="5">
                  <c:v>0.18181818181818182</c:v>
                </c:pt>
                <c:pt idx="6">
                  <c:v>0.35</c:v>
                </c:pt>
              </c:numCache>
            </c:numRef>
          </c:val>
        </c:ser>
        <c:dLbls>
          <c:showLegendKey val="0"/>
          <c:showVal val="1"/>
          <c:showCatName val="0"/>
          <c:showSerName val="0"/>
          <c:showPercent val="0"/>
          <c:showBubbleSize val="0"/>
        </c:dLbls>
        <c:gapWidth val="150"/>
        <c:shape val="box"/>
        <c:axId val="94094464"/>
        <c:axId val="94096000"/>
        <c:axId val="0"/>
      </c:bar3DChart>
      <c:catAx>
        <c:axId val="94094464"/>
        <c:scaling>
          <c:orientation val="minMax"/>
        </c:scaling>
        <c:delete val="0"/>
        <c:axPos val="b"/>
        <c:majorTickMark val="none"/>
        <c:minorTickMark val="none"/>
        <c:tickLblPos val="nextTo"/>
        <c:crossAx val="94096000"/>
        <c:crosses val="autoZero"/>
        <c:auto val="1"/>
        <c:lblAlgn val="ctr"/>
        <c:lblOffset val="100"/>
        <c:noMultiLvlLbl val="0"/>
      </c:catAx>
      <c:valAx>
        <c:axId val="94096000"/>
        <c:scaling>
          <c:orientation val="minMax"/>
        </c:scaling>
        <c:delete val="1"/>
        <c:axPos val="l"/>
        <c:numFmt formatCode="0.0%" sourceLinked="1"/>
        <c:majorTickMark val="none"/>
        <c:minorTickMark val="none"/>
        <c:tickLblPos val="nextTo"/>
        <c:crossAx val="94094464"/>
        <c:crosses val="autoZero"/>
        <c:crossBetween val="between"/>
      </c:valAx>
      <c:dTable>
        <c:showHorzBorder val="1"/>
        <c:showVertBorder val="1"/>
        <c:showOutline val="1"/>
        <c:showKeys val="1"/>
      </c:dTable>
    </c:plotArea>
    <c:plotVisOnly val="1"/>
    <c:dispBlanksAs val="gap"/>
    <c:showDLblsOverMax val="0"/>
  </c:chart>
  <c:spPr>
    <a:solidFill>
      <a:schemeClr val="bg1">
        <a:lumMod val="85000"/>
      </a:schemeClr>
    </a:solidFill>
    <a:ln w="28575"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3 Year Tonnage History</a:t>
            </a:r>
          </a:p>
        </c:rich>
      </c:tx>
      <c:overlay val="0"/>
      <c:spPr>
        <a:solidFill>
          <a:schemeClr val="bg2"/>
        </a:solidFill>
        <a:ln w="9525" cap="flat" cmpd="sng" algn="ctr">
          <a:solidFill>
            <a:schemeClr val="dk1"/>
          </a:solidFill>
          <a:prstDash val="solid"/>
        </a:ln>
        <a:effectLst/>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Sheet3!$A$3</c:f>
              <c:strCache>
                <c:ptCount val="1"/>
                <c:pt idx="0">
                  <c:v>2014</c:v>
                </c:pt>
              </c:strCache>
            </c:strRef>
          </c:tx>
          <c:invertIfNegative val="0"/>
          <c:cat>
            <c:strRef>
              <c:f>Sheet3!$B$2:$H$2</c:f>
              <c:strCache>
                <c:ptCount val="7"/>
                <c:pt idx="0">
                  <c:v>Total</c:v>
                </c:pt>
                <c:pt idx="1">
                  <c:v>Bag</c:v>
                </c:pt>
                <c:pt idx="2">
                  <c:v>Bulk</c:v>
                </c:pt>
                <c:pt idx="3">
                  <c:v>Liquid</c:v>
                </c:pt>
                <c:pt idx="4">
                  <c:v>Farm</c:v>
                </c:pt>
                <c:pt idx="5">
                  <c:v>Non-Farm</c:v>
                </c:pt>
                <c:pt idx="6">
                  <c:v>Total Dollars</c:v>
                </c:pt>
              </c:strCache>
            </c:strRef>
          </c:cat>
          <c:val>
            <c:numRef>
              <c:f>Sheet3!$B$3:$H$3</c:f>
              <c:numCache>
                <c:formatCode>#,##0</c:formatCode>
                <c:ptCount val="7"/>
                <c:pt idx="0">
                  <c:v>91421.53</c:v>
                </c:pt>
                <c:pt idx="1">
                  <c:v>20736.740000000002</c:v>
                </c:pt>
                <c:pt idx="2">
                  <c:v>68035.990000000005</c:v>
                </c:pt>
                <c:pt idx="3">
                  <c:v>2648.8</c:v>
                </c:pt>
                <c:pt idx="4">
                  <c:v>73709.77</c:v>
                </c:pt>
                <c:pt idx="5">
                  <c:v>17711.759999999998</c:v>
                </c:pt>
                <c:pt idx="6" formatCode="&quot;$&quot;#,##0_);[Red]\(&quot;$&quot;#,##0\)">
                  <c:v>91421</c:v>
                </c:pt>
              </c:numCache>
            </c:numRef>
          </c:val>
        </c:ser>
        <c:ser>
          <c:idx val="1"/>
          <c:order val="1"/>
          <c:tx>
            <c:strRef>
              <c:f>Sheet3!$A$7</c:f>
              <c:strCache>
                <c:ptCount val="1"/>
                <c:pt idx="0">
                  <c:v>2015</c:v>
                </c:pt>
              </c:strCache>
            </c:strRef>
          </c:tx>
          <c:invertIfNegative val="0"/>
          <c:cat>
            <c:strRef>
              <c:f>Sheet3!$B$2:$H$2</c:f>
              <c:strCache>
                <c:ptCount val="7"/>
                <c:pt idx="0">
                  <c:v>Total</c:v>
                </c:pt>
                <c:pt idx="1">
                  <c:v>Bag</c:v>
                </c:pt>
                <c:pt idx="2">
                  <c:v>Bulk</c:v>
                </c:pt>
                <c:pt idx="3">
                  <c:v>Liquid</c:v>
                </c:pt>
                <c:pt idx="4">
                  <c:v>Farm</c:v>
                </c:pt>
                <c:pt idx="5">
                  <c:v>Non-Farm</c:v>
                </c:pt>
                <c:pt idx="6">
                  <c:v>Total Dollars</c:v>
                </c:pt>
              </c:strCache>
            </c:strRef>
          </c:cat>
          <c:val>
            <c:numRef>
              <c:f>Sheet3!$B$7:$H$7</c:f>
              <c:numCache>
                <c:formatCode>#,##0</c:formatCode>
                <c:ptCount val="7"/>
                <c:pt idx="0">
                  <c:v>102352</c:v>
                </c:pt>
                <c:pt idx="1">
                  <c:v>23498</c:v>
                </c:pt>
                <c:pt idx="2">
                  <c:v>75090</c:v>
                </c:pt>
                <c:pt idx="3">
                  <c:v>3764</c:v>
                </c:pt>
                <c:pt idx="4">
                  <c:v>82184</c:v>
                </c:pt>
                <c:pt idx="5">
                  <c:v>20168</c:v>
                </c:pt>
                <c:pt idx="6" formatCode="&quot;$&quot;#,##0_);[Red]\(&quot;$&quot;#,##0\)">
                  <c:v>0</c:v>
                </c:pt>
              </c:numCache>
            </c:numRef>
          </c:val>
        </c:ser>
        <c:ser>
          <c:idx val="2"/>
          <c:order val="2"/>
          <c:tx>
            <c:strRef>
              <c:f>Sheet3!$A$11</c:f>
              <c:strCache>
                <c:ptCount val="1"/>
                <c:pt idx="0">
                  <c:v>2016</c:v>
                </c:pt>
              </c:strCache>
            </c:strRef>
          </c:tx>
          <c:invertIfNegative val="0"/>
          <c:cat>
            <c:strRef>
              <c:f>Sheet3!$B$2:$H$2</c:f>
              <c:strCache>
                <c:ptCount val="7"/>
                <c:pt idx="0">
                  <c:v>Total</c:v>
                </c:pt>
                <c:pt idx="1">
                  <c:v>Bag</c:v>
                </c:pt>
                <c:pt idx="2">
                  <c:v>Bulk</c:v>
                </c:pt>
                <c:pt idx="3">
                  <c:v>Liquid</c:v>
                </c:pt>
                <c:pt idx="4">
                  <c:v>Farm</c:v>
                </c:pt>
                <c:pt idx="5">
                  <c:v>Non-Farm</c:v>
                </c:pt>
                <c:pt idx="6">
                  <c:v>Total Dollars</c:v>
                </c:pt>
              </c:strCache>
            </c:strRef>
          </c:cat>
          <c:val>
            <c:numRef>
              <c:f>Sheet3!$B$11:$H$11</c:f>
              <c:numCache>
                <c:formatCode>#,##0</c:formatCode>
                <c:ptCount val="7"/>
                <c:pt idx="0">
                  <c:v>106418</c:v>
                </c:pt>
                <c:pt idx="1">
                  <c:v>24003</c:v>
                </c:pt>
                <c:pt idx="2">
                  <c:v>72895</c:v>
                </c:pt>
                <c:pt idx="3">
                  <c:v>9520</c:v>
                </c:pt>
                <c:pt idx="4">
                  <c:v>86295</c:v>
                </c:pt>
                <c:pt idx="5">
                  <c:v>20123</c:v>
                </c:pt>
                <c:pt idx="6" formatCode="&quot;$&quot;#,##0">
                  <c:v>0</c:v>
                </c:pt>
              </c:numCache>
            </c:numRef>
          </c:val>
        </c:ser>
        <c:dLbls>
          <c:showLegendKey val="0"/>
          <c:showVal val="0"/>
          <c:showCatName val="0"/>
          <c:showSerName val="0"/>
          <c:showPercent val="0"/>
          <c:showBubbleSize val="0"/>
        </c:dLbls>
        <c:gapWidth val="150"/>
        <c:shape val="box"/>
        <c:axId val="94132096"/>
        <c:axId val="94133632"/>
        <c:axId val="0"/>
      </c:bar3DChart>
      <c:catAx>
        <c:axId val="94132096"/>
        <c:scaling>
          <c:orientation val="minMax"/>
        </c:scaling>
        <c:delete val="0"/>
        <c:axPos val="b"/>
        <c:majorTickMark val="none"/>
        <c:minorTickMark val="none"/>
        <c:tickLblPos val="nextTo"/>
        <c:crossAx val="94133632"/>
        <c:crosses val="autoZero"/>
        <c:auto val="1"/>
        <c:lblAlgn val="ctr"/>
        <c:lblOffset val="100"/>
        <c:noMultiLvlLbl val="0"/>
      </c:catAx>
      <c:valAx>
        <c:axId val="94133632"/>
        <c:scaling>
          <c:orientation val="minMax"/>
        </c:scaling>
        <c:delete val="1"/>
        <c:axPos val="l"/>
        <c:numFmt formatCode="#,##0" sourceLinked="1"/>
        <c:majorTickMark val="none"/>
        <c:minorTickMark val="none"/>
        <c:tickLblPos val="nextTo"/>
        <c:crossAx val="94132096"/>
        <c:crosses val="autoZero"/>
        <c:crossBetween val="between"/>
      </c:valAx>
      <c:dTable>
        <c:showHorzBorder val="1"/>
        <c:showVertBorder val="1"/>
        <c:showOutline val="1"/>
        <c:showKeys val="1"/>
      </c:dTable>
    </c:plotArea>
    <c:plotVisOnly val="1"/>
    <c:dispBlanksAs val="gap"/>
    <c:showDLblsOverMax val="0"/>
  </c:chart>
  <c:spPr>
    <a:solidFill>
      <a:schemeClr val="bg2">
        <a:lumMod val="90000"/>
      </a:schemeClr>
    </a:solidFill>
    <a:ln w="38100"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3 Year Product Registrations- Lime &amp; Fertilizer</a:t>
            </a:r>
          </a:p>
        </c:rich>
      </c:tx>
      <c:overlay val="0"/>
      <c:spPr>
        <a:solidFill>
          <a:schemeClr val="bg2"/>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Sheet2!$A$1</c:f>
              <c:strCache>
                <c:ptCount val="1"/>
                <c:pt idx="0">
                  <c:v>Product Registrations</c:v>
                </c:pt>
              </c:strCache>
            </c:strRef>
          </c:tx>
          <c:invertIfNegative val="0"/>
          <c:val>
            <c:numRef>
              <c:f>Sheet2!$B$1:$D$1</c:f>
              <c:numCache>
                <c:formatCode>General</c:formatCode>
                <c:ptCount val="3"/>
                <c:pt idx="0">
                  <c:v>2014</c:v>
                </c:pt>
                <c:pt idx="1">
                  <c:v>2015</c:v>
                </c:pt>
                <c:pt idx="2">
                  <c:v>2016</c:v>
                </c:pt>
              </c:numCache>
            </c:numRef>
          </c:val>
        </c:ser>
        <c:ser>
          <c:idx val="1"/>
          <c:order val="1"/>
          <c:tx>
            <c:strRef>
              <c:f>Sheet2!$A$2</c:f>
              <c:strCache>
                <c:ptCount val="1"/>
                <c:pt idx="0">
                  <c:v>Lime</c:v>
                </c:pt>
              </c:strCache>
            </c:strRef>
          </c:tx>
          <c:invertIfNegative val="0"/>
          <c:val>
            <c:numRef>
              <c:f>Sheet2!$B$2:$D$2</c:f>
              <c:numCache>
                <c:formatCode>General</c:formatCode>
                <c:ptCount val="3"/>
                <c:pt idx="0">
                  <c:v>101</c:v>
                </c:pt>
                <c:pt idx="1">
                  <c:v>99</c:v>
                </c:pt>
                <c:pt idx="2">
                  <c:v>106</c:v>
                </c:pt>
              </c:numCache>
            </c:numRef>
          </c:val>
        </c:ser>
        <c:ser>
          <c:idx val="2"/>
          <c:order val="2"/>
          <c:tx>
            <c:strRef>
              <c:f>Sheet2!$A$4</c:f>
              <c:strCache>
                <c:ptCount val="1"/>
                <c:pt idx="0">
                  <c:v>Fertilizer</c:v>
                </c:pt>
              </c:strCache>
            </c:strRef>
          </c:tx>
          <c:spPr>
            <a:solidFill>
              <a:srgbClr val="00B050"/>
            </a:solidFill>
          </c:spPr>
          <c:invertIfNegative val="0"/>
          <c:val>
            <c:numRef>
              <c:f>Sheet2!$B$4:$D$4</c:f>
              <c:numCache>
                <c:formatCode>General</c:formatCode>
                <c:ptCount val="3"/>
                <c:pt idx="0">
                  <c:v>2917</c:v>
                </c:pt>
                <c:pt idx="1">
                  <c:v>3066</c:v>
                </c:pt>
                <c:pt idx="2">
                  <c:v>3803</c:v>
                </c:pt>
              </c:numCache>
            </c:numRef>
          </c:val>
        </c:ser>
        <c:dLbls>
          <c:showLegendKey val="0"/>
          <c:showVal val="0"/>
          <c:showCatName val="0"/>
          <c:showSerName val="0"/>
          <c:showPercent val="0"/>
          <c:showBubbleSize val="0"/>
        </c:dLbls>
        <c:gapWidth val="150"/>
        <c:shape val="box"/>
        <c:axId val="94296704"/>
        <c:axId val="91558272"/>
        <c:axId val="0"/>
      </c:bar3DChart>
      <c:catAx>
        <c:axId val="94296704"/>
        <c:scaling>
          <c:orientation val="minMax"/>
        </c:scaling>
        <c:delete val="0"/>
        <c:axPos val="b"/>
        <c:majorTickMark val="none"/>
        <c:minorTickMark val="none"/>
        <c:tickLblPos val="nextTo"/>
        <c:crossAx val="91558272"/>
        <c:crosses val="autoZero"/>
        <c:auto val="1"/>
        <c:lblAlgn val="ctr"/>
        <c:lblOffset val="100"/>
        <c:noMultiLvlLbl val="0"/>
      </c:catAx>
      <c:valAx>
        <c:axId val="91558272"/>
        <c:scaling>
          <c:orientation val="minMax"/>
        </c:scaling>
        <c:delete val="1"/>
        <c:axPos val="l"/>
        <c:numFmt formatCode="General" sourceLinked="1"/>
        <c:majorTickMark val="none"/>
        <c:minorTickMark val="none"/>
        <c:tickLblPos val="nextTo"/>
        <c:crossAx val="94296704"/>
        <c:crosses val="autoZero"/>
        <c:crossBetween val="between"/>
      </c:valAx>
      <c:dTable>
        <c:showHorzBorder val="1"/>
        <c:showVertBorder val="1"/>
        <c:showOutline val="1"/>
        <c:showKeys val="1"/>
        <c:txPr>
          <a:bodyPr/>
          <a:lstStyle/>
          <a:p>
            <a:pPr rtl="0">
              <a:defRPr b="1"/>
            </a:pPr>
            <a:endParaRPr lang="en-US"/>
          </a:p>
        </c:txPr>
      </c:dTable>
    </c:plotArea>
    <c:plotVisOnly val="1"/>
    <c:dispBlanksAs val="gap"/>
    <c:showDLblsOverMax val="0"/>
  </c:chart>
  <c:spPr>
    <a:solidFill>
      <a:schemeClr val="bg1">
        <a:lumMod val="85000"/>
      </a:schemeClr>
    </a:solidFill>
    <a:ln w="28575" cap="flat" cmpd="sng" algn="ctr">
      <a:solidFill>
        <a:schemeClr val="dk1"/>
      </a:solidFill>
      <a:prstDash val="solid"/>
    </a:ln>
    <a:effectLst/>
    <a:scene3d>
      <a:camera prst="orthographicFront"/>
      <a:lightRig rig="threePt" dir="t"/>
    </a:scene3d>
    <a:sp3d>
      <a:bevelT prst="relaxedInset"/>
    </a:sp3d>
  </c:spPr>
  <c:txPr>
    <a:bodyPr/>
    <a:lstStyle/>
    <a:p>
      <a:pPr>
        <a:defRPr>
          <a:solidFill>
            <a:schemeClr val="dk1"/>
          </a:solidFill>
          <a:latin typeface="+mn-lt"/>
          <a:ea typeface="+mn-ea"/>
          <a:cs typeface="+mn-cs"/>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2016 Total Revenue (All Products)</a:t>
            </a:r>
          </a:p>
          <a:p>
            <a:pPr>
              <a:defRPr sz="1200"/>
            </a:pPr>
            <a:r>
              <a:rPr lang="en-US" sz="1200"/>
              <a:t>$1,676,030</a:t>
            </a:r>
          </a:p>
        </c:rich>
      </c:tx>
      <c:overlay val="0"/>
    </c:title>
    <c:autoTitleDeleted val="0"/>
    <c:view3D>
      <c:rotX val="15"/>
      <c:rotY val="20"/>
      <c:rAngAx val="1"/>
    </c:view3D>
    <c:floor>
      <c:thickness val="0"/>
      <c:spPr>
        <a:noFill/>
      </c:spPr>
    </c:floor>
    <c:sideWall>
      <c:thickness val="0"/>
      <c:spPr>
        <a:noFill/>
        <a:ln w="25400">
          <a:noFill/>
        </a:ln>
      </c:spPr>
    </c:sideWall>
    <c:backWall>
      <c:thickness val="0"/>
      <c:spPr>
        <a:blipFill>
          <a:blip xmlns:r="http://schemas.openxmlformats.org/officeDocument/2006/relationships" r:embed="rId2"/>
          <a:tile tx="0" ty="0" sx="100000" sy="100000" flip="none" algn="tl"/>
        </a:blipFill>
        <a:ln w="25400">
          <a:noFill/>
        </a:ln>
      </c:spPr>
    </c:backWall>
    <c:plotArea>
      <c:layout>
        <c:manualLayout>
          <c:layoutTarget val="inner"/>
          <c:xMode val="edge"/>
          <c:yMode val="edge"/>
          <c:x val="1.7383746197305518E-2"/>
          <c:y val="0.1586865024894995"/>
          <c:w val="0.97218600608431116"/>
          <c:h val="0.56062143564786271"/>
        </c:manualLayout>
      </c:layout>
      <c:bar3DChart>
        <c:barDir val="col"/>
        <c:grouping val="clustered"/>
        <c:varyColors val="0"/>
        <c:ser>
          <c:idx val="0"/>
          <c:order val="0"/>
          <c:invertIfNegative val="0"/>
          <c:dLbls>
            <c:txPr>
              <a:bodyPr/>
              <a:lstStyle/>
              <a:p>
                <a:pPr>
                  <a:defRPr sz="900" b="1"/>
                </a:pPr>
                <a:endParaRPr lang="en-US"/>
              </a:p>
            </c:txPr>
            <c:showLegendKey val="0"/>
            <c:showVal val="1"/>
            <c:showCatName val="0"/>
            <c:showSerName val="0"/>
            <c:showPercent val="0"/>
            <c:showBubbleSize val="0"/>
            <c:showLeaderLines val="0"/>
          </c:dLbls>
          <c:cat>
            <c:strRef>
              <c:f>Sheet1!$A$49:$A$59</c:f>
              <c:strCache>
                <c:ptCount val="11"/>
                <c:pt idx="0">
                  <c:v>Lime</c:v>
                </c:pt>
                <c:pt idx="1">
                  <c:v>Cash over /short</c:v>
                </c:pt>
                <c:pt idx="2">
                  <c:v>Fertilizer Registration</c:v>
                </c:pt>
                <c:pt idx="3">
                  <c:v>Comm. Feed</c:v>
                </c:pt>
                <c:pt idx="4">
                  <c:v>Feed Animal Wlfs 50%</c:v>
                </c:pt>
                <c:pt idx="5">
                  <c:v>Fertilizer Inspection Fees</c:v>
                </c:pt>
                <c:pt idx="6">
                  <c:v>Lime Inspection Fees</c:v>
                </c:pt>
                <c:pt idx="7">
                  <c:v>Pet Food</c:v>
                </c:pt>
                <c:pt idx="8">
                  <c:v>Pet Food surcharge AW</c:v>
                </c:pt>
                <c:pt idx="9">
                  <c:v>Plant &amp; Soil Amend.</c:v>
                </c:pt>
                <c:pt idx="10">
                  <c:v>Seed</c:v>
                </c:pt>
              </c:strCache>
            </c:strRef>
          </c:cat>
          <c:val>
            <c:numRef>
              <c:f>Sheet1!$B$49:$B$59</c:f>
              <c:numCache>
                <c:formatCode>"$"#,##0</c:formatCode>
                <c:ptCount val="11"/>
                <c:pt idx="0">
                  <c:v>5250</c:v>
                </c:pt>
                <c:pt idx="1">
                  <c:v>13475</c:v>
                </c:pt>
                <c:pt idx="2">
                  <c:v>366900</c:v>
                </c:pt>
                <c:pt idx="3">
                  <c:v>86640</c:v>
                </c:pt>
                <c:pt idx="4">
                  <c:v>487930</c:v>
                </c:pt>
                <c:pt idx="5">
                  <c:v>90025</c:v>
                </c:pt>
                <c:pt idx="6">
                  <c:v>3225</c:v>
                </c:pt>
                <c:pt idx="7">
                  <c:v>401370</c:v>
                </c:pt>
                <c:pt idx="8">
                  <c:v>200640</c:v>
                </c:pt>
                <c:pt idx="9">
                  <c:v>16425</c:v>
                </c:pt>
                <c:pt idx="10">
                  <c:v>4150</c:v>
                </c:pt>
              </c:numCache>
            </c:numRef>
          </c:val>
        </c:ser>
        <c:dLbls>
          <c:showLegendKey val="0"/>
          <c:showVal val="0"/>
          <c:showCatName val="0"/>
          <c:showSerName val="0"/>
          <c:showPercent val="0"/>
          <c:showBubbleSize val="0"/>
        </c:dLbls>
        <c:gapWidth val="150"/>
        <c:shape val="box"/>
        <c:axId val="91618688"/>
        <c:axId val="94196864"/>
        <c:axId val="0"/>
      </c:bar3DChart>
      <c:catAx>
        <c:axId val="91618688"/>
        <c:scaling>
          <c:orientation val="minMax"/>
        </c:scaling>
        <c:delete val="0"/>
        <c:axPos val="b"/>
        <c:majorTickMark val="out"/>
        <c:minorTickMark val="none"/>
        <c:tickLblPos val="nextTo"/>
        <c:txPr>
          <a:bodyPr/>
          <a:lstStyle/>
          <a:p>
            <a:pPr>
              <a:defRPr sz="1100" b="1"/>
            </a:pPr>
            <a:endParaRPr lang="en-US"/>
          </a:p>
        </c:txPr>
        <c:crossAx val="94196864"/>
        <c:crosses val="autoZero"/>
        <c:auto val="1"/>
        <c:lblAlgn val="ctr"/>
        <c:lblOffset val="100"/>
        <c:noMultiLvlLbl val="0"/>
      </c:catAx>
      <c:valAx>
        <c:axId val="94196864"/>
        <c:scaling>
          <c:orientation val="minMax"/>
        </c:scaling>
        <c:delete val="1"/>
        <c:axPos val="l"/>
        <c:numFmt formatCode="&quot;$&quot;#,##0" sourceLinked="1"/>
        <c:majorTickMark val="out"/>
        <c:minorTickMark val="none"/>
        <c:tickLblPos val="nextTo"/>
        <c:crossAx val="91618688"/>
        <c:crosses val="autoZero"/>
        <c:crossBetween val="between"/>
      </c:valAx>
      <c:spPr>
        <a:blipFill>
          <a:blip xmlns:r="http://schemas.openxmlformats.org/officeDocument/2006/relationships" r:embed="rId2"/>
          <a:tile tx="0" ty="0" sx="100000" sy="100000" flip="none" algn="tl"/>
        </a:blipFill>
      </c:spPr>
    </c:plotArea>
    <c:plotVisOnly val="1"/>
    <c:dispBlanksAs val="gap"/>
    <c:showDLblsOverMax val="0"/>
  </c:chart>
  <c:spPr>
    <a:solidFill>
      <a:schemeClr val="bg2"/>
    </a:solidFill>
    <a:ln>
      <a:solidFill>
        <a:schemeClr val="tx1"/>
      </a:solidFill>
    </a:ln>
    <a:effectLst>
      <a:outerShdw blurRad="50800" dist="38100" dir="2700000" algn="tl" rotWithShape="0">
        <a:prstClr val="black">
          <a:alpha val="40000"/>
        </a:prstClr>
      </a:outerShdw>
    </a:effectLst>
  </c:spPr>
  <c:externalData r:id="rId3">
    <c:autoUpdate val="0"/>
  </c:externalData>
</c:chartSpace>
</file>

<file path=word/drawings/drawing1.xml><?xml version="1.0" encoding="utf-8"?>
<c:userShapes xmlns:c="http://schemas.openxmlformats.org/drawingml/2006/chart">
  <cdr:relSizeAnchor xmlns:cdr="http://schemas.openxmlformats.org/drawingml/2006/chartDrawing">
    <cdr:from>
      <cdr:x>0.36187</cdr:x>
      <cdr:y>0.17881</cdr:y>
    </cdr:from>
    <cdr:to>
      <cdr:x>0.36306</cdr:x>
      <cdr:y>0.78808</cdr:y>
    </cdr:to>
    <cdr:cxnSp macro="">
      <cdr:nvCxnSpPr>
        <cdr:cNvPr id="2" name="Straight Connector 1"/>
        <cdr:cNvCxnSpPr/>
      </cdr:nvCxnSpPr>
      <cdr:spPr>
        <a:xfrm xmlns:a="http://schemas.openxmlformats.org/drawingml/2006/main" flipH="1" flipV="1">
          <a:off x="1853023" y="490506"/>
          <a:ext cx="6056" cy="1671354"/>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0.06445</cdr:x>
      <cdr:y>0.42289</cdr:y>
    </cdr:from>
    <cdr:to>
      <cdr:x>0.94727</cdr:x>
      <cdr:y>0.42537</cdr:y>
    </cdr:to>
    <cdr:cxnSp macro="">
      <cdr:nvCxnSpPr>
        <cdr:cNvPr id="2" name="Straight Connector 1"/>
        <cdr:cNvCxnSpPr/>
      </cdr:nvCxnSpPr>
      <cdr:spPr>
        <a:xfrm xmlns:a="http://schemas.openxmlformats.org/drawingml/2006/main" flipV="1">
          <a:off x="314325" y="1619250"/>
          <a:ext cx="4305299" cy="952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0.86329</cdr:x>
      <cdr:y>0.88521</cdr:y>
    </cdr:from>
    <cdr:to>
      <cdr:x>0.9236</cdr:x>
      <cdr:y>1</cdr:y>
    </cdr:to>
    <cdr:sp macro="" textlink="">
      <cdr:nvSpPr>
        <cdr:cNvPr id="3" name="Oval 2"/>
        <cdr:cNvSpPr/>
      </cdr:nvSpPr>
      <cdr:spPr>
        <a:xfrm xmlns:a="http://schemas.openxmlformats.org/drawingml/2006/main">
          <a:off x="4420610" y="2428307"/>
          <a:ext cx="308837" cy="314892"/>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0.29311</cdr:x>
      <cdr:y>0.27432</cdr:y>
    </cdr:from>
    <cdr:to>
      <cdr:x>0.43141</cdr:x>
      <cdr:y>0.39744</cdr:y>
    </cdr:to>
    <cdr:sp macro="" textlink="">
      <cdr:nvSpPr>
        <cdr:cNvPr id="4" name="Text Box 3"/>
        <cdr:cNvSpPr txBox="1"/>
      </cdr:nvSpPr>
      <cdr:spPr>
        <a:xfrm xmlns:a="http://schemas.openxmlformats.org/drawingml/2006/main">
          <a:off x="1719798" y="769065"/>
          <a:ext cx="811455" cy="345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This report outlines the major accomplishments and results of Maine’s 2016 Fertilizer Quality Control Program produced in accordance with MRS Title 7. Our mission statement for this program is to serve, promote and protect the Agricultural Producers, and Retail Consumers of the State of Maine by continuously working to improve the quality of fertilizer products sold in Maine.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EF1D18-2629-47C9-ACD5-038D159A7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921</Words>
  <Characters>5250</Characters>
  <Application>Microsoft Office Word</Application>
  <DocSecurity>12</DocSecurity>
  <Lines>43</Lines>
  <Paragraphs>12</Paragraphs>
  <ScaleCrop>false</ScaleCrop>
  <HeadingPairs>
    <vt:vector size="2" baseType="variant">
      <vt:variant>
        <vt:lpstr>Title</vt:lpstr>
      </vt:variant>
      <vt:variant>
        <vt:i4>1</vt:i4>
      </vt:variant>
    </vt:vector>
  </HeadingPairs>
  <TitlesOfParts>
    <vt:vector size="1" baseType="lpstr">
      <vt:lpstr>FERTILIZER PROGRAM SUMMARY REPORT</vt:lpstr>
    </vt:vector>
  </TitlesOfParts>
  <Company>Maine Department of Agriculture, Conservation &amp; Forestry                                Division of Quality Assurance &amp; Regulations</Company>
  <LinksUpToDate>false</LinksUpToDate>
  <CharactersWithSpaces>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FERTILIZER PROGRAM SUMMARY REPORT</dc:title>
  <dc:creator>Crsh, Michael</dc:creator>
  <cp:lastModifiedBy>Newbegin, Michelle</cp:lastModifiedBy>
  <cp:revision>2</cp:revision>
  <cp:lastPrinted>2017-01-05T20:46:00Z</cp:lastPrinted>
  <dcterms:created xsi:type="dcterms:W3CDTF">2017-01-09T14:03:00Z</dcterms:created>
  <dcterms:modified xsi:type="dcterms:W3CDTF">2017-01-09T14:03:00Z</dcterms:modified>
</cp:coreProperties>
</file>